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6BF18" w14:textId="06D21BB1" w:rsidR="00C73699" w:rsidRPr="00D57327" w:rsidRDefault="00FD24D8" w:rsidP="00C73699">
      <w:pPr>
        <w:pStyle w:val="Default"/>
        <w:rPr>
          <w:color w:val="auto"/>
          <w:sz w:val="22"/>
        </w:rPr>
      </w:pPr>
      <w:r>
        <w:rPr>
          <w:b/>
          <w:color w:val="auto"/>
          <w:sz w:val="22"/>
        </w:rPr>
        <w:t>AYUNTAMIENTO DE TLAZAZALCA</w:t>
      </w:r>
      <w:r w:rsidR="004D5A50">
        <w:rPr>
          <w:b/>
          <w:color w:val="auto"/>
          <w:sz w:val="22"/>
        </w:rPr>
        <w:t>,</w:t>
      </w:r>
      <w:r w:rsidR="00C73699" w:rsidRPr="00D57327">
        <w:rPr>
          <w:b/>
          <w:color w:val="auto"/>
          <w:sz w:val="22"/>
        </w:rPr>
        <w:t xml:space="preserve"> MICHOACÁN</w:t>
      </w:r>
      <w:r w:rsidR="00C73699" w:rsidRPr="00D57327">
        <w:rPr>
          <w:color w:val="auto"/>
          <w:sz w:val="22"/>
        </w:rPr>
        <w:t>.</w:t>
      </w:r>
    </w:p>
    <w:p w14:paraId="31ADA647" w14:textId="77777777" w:rsidR="00C73699" w:rsidRPr="00D57327" w:rsidRDefault="00C73699" w:rsidP="00C73699">
      <w:pPr>
        <w:pStyle w:val="Ttulo2"/>
        <w:rPr>
          <w:sz w:val="20"/>
        </w:rPr>
      </w:pPr>
    </w:p>
    <w:p w14:paraId="6DD0D239" w14:textId="77777777" w:rsidR="00C73699" w:rsidRPr="00D57327" w:rsidRDefault="00C73699" w:rsidP="00C73699">
      <w:pPr>
        <w:pStyle w:val="Default"/>
        <w:rPr>
          <w:b/>
          <w:color w:val="auto"/>
          <w:sz w:val="22"/>
        </w:rPr>
      </w:pPr>
      <w:r w:rsidRPr="00D57327">
        <w:rPr>
          <w:b/>
          <w:color w:val="auto"/>
          <w:sz w:val="22"/>
        </w:rPr>
        <w:t xml:space="preserve">AUDITORIA </w:t>
      </w:r>
      <w:r>
        <w:rPr>
          <w:b/>
          <w:color w:val="auto"/>
          <w:sz w:val="22"/>
        </w:rPr>
        <w:t>FINANCIERA</w:t>
      </w:r>
    </w:p>
    <w:p w14:paraId="7F1DCC24" w14:textId="77777777" w:rsidR="00C73699" w:rsidRPr="00D57327" w:rsidRDefault="00C73699" w:rsidP="00C73699"/>
    <w:p w14:paraId="352D6F99" w14:textId="68E62A8A" w:rsidR="00C73699" w:rsidRPr="00115E09" w:rsidRDefault="00C73699" w:rsidP="00C73699">
      <w:pPr>
        <w:rPr>
          <w:rFonts w:eastAsiaTheme="minorHAnsi"/>
          <w:lang w:eastAsia="en-US"/>
        </w:rPr>
      </w:pPr>
      <w:r w:rsidRPr="00D57327">
        <w:rPr>
          <w:rFonts w:eastAsiaTheme="minorHAnsi"/>
          <w:lang w:eastAsia="en-US"/>
        </w:rPr>
        <w:t xml:space="preserve">En cumplimiento a lo estipulado por el artículo 65 </w:t>
      </w:r>
      <w:bookmarkStart w:id="0" w:name="_Hlk52964916"/>
      <w:r w:rsidRPr="00D57327">
        <w:rPr>
          <w:rFonts w:eastAsiaTheme="minorHAnsi"/>
          <w:lang w:eastAsia="en-US"/>
        </w:rPr>
        <w:t>de la Ley de Fiscalización Superior y Rendición de Cuentas del Estado de Michoacán de Ocampo</w:t>
      </w:r>
      <w:bookmarkEnd w:id="0"/>
      <w:r w:rsidRPr="00D57327">
        <w:rPr>
          <w:rFonts w:eastAsiaTheme="minorHAnsi"/>
          <w:lang w:eastAsia="en-US"/>
        </w:rPr>
        <w:t xml:space="preserve">, se emite el Informe Individual del </w:t>
      </w:r>
      <w:r w:rsidR="00FD24D8">
        <w:rPr>
          <w:rFonts w:eastAsiaTheme="minorHAnsi"/>
          <w:lang w:eastAsia="en-US"/>
        </w:rPr>
        <w:t>Ayuntamiento de Tlazazalca</w:t>
      </w:r>
      <w:r w:rsidR="004D5A50">
        <w:rPr>
          <w:rFonts w:eastAsiaTheme="minorHAnsi"/>
          <w:lang w:eastAsia="en-US"/>
        </w:rPr>
        <w:t>,</w:t>
      </w:r>
      <w:r w:rsidRPr="00115E09">
        <w:rPr>
          <w:rFonts w:eastAsiaTheme="minorHAnsi"/>
          <w:lang w:eastAsia="en-US"/>
        </w:rPr>
        <w:t xml:space="preserve"> Michoacán,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2B1F176D" w14:textId="77777777" w:rsidR="00C73699" w:rsidRPr="00115E09" w:rsidRDefault="00C73699" w:rsidP="00C73699">
      <w:pPr>
        <w:rPr>
          <w:rFonts w:cs="Arial"/>
          <w:szCs w:val="22"/>
        </w:rPr>
      </w:pPr>
    </w:p>
    <w:p w14:paraId="62D27814" w14:textId="77777777" w:rsidR="00C73699" w:rsidRPr="00115E09" w:rsidRDefault="00C73699" w:rsidP="00C73699">
      <w:pPr>
        <w:pStyle w:val="Ttulo1"/>
        <w:shd w:val="clear" w:color="auto" w:fill="auto"/>
        <w:jc w:val="left"/>
        <w:rPr>
          <w:color w:val="auto"/>
        </w:rPr>
      </w:pPr>
      <w:r w:rsidRPr="00115E09">
        <w:rPr>
          <w:bCs/>
          <w:color w:val="auto"/>
        </w:rPr>
        <w:t>CRITERIOS</w:t>
      </w:r>
      <w:r w:rsidRPr="00115E09">
        <w:rPr>
          <w:color w:val="auto"/>
        </w:rPr>
        <w:t xml:space="preserve"> DE SELECCIÓN.</w:t>
      </w:r>
    </w:p>
    <w:p w14:paraId="3F557C0B" w14:textId="77777777" w:rsidR="00C73699" w:rsidRPr="00115E09" w:rsidRDefault="00C73699" w:rsidP="00C73699">
      <w:pPr>
        <w:rPr>
          <w:lang w:val="es-MX"/>
        </w:rPr>
      </w:pPr>
    </w:p>
    <w:p w14:paraId="4D849799" w14:textId="77777777" w:rsidR="00C73699" w:rsidRPr="004E2BFC" w:rsidRDefault="00C73699" w:rsidP="00C73699">
      <w:pPr>
        <w:rPr>
          <w:lang w:val="es-MX"/>
        </w:rPr>
      </w:pPr>
      <w:r w:rsidRPr="00115E09">
        <w:rPr>
          <w:lang w:val="es-MX"/>
        </w:rPr>
        <w:t xml:space="preserve">Con la finalidad de dar cumplimiento al Acuerdo Legislativo </w:t>
      </w:r>
      <w:r w:rsidRPr="008F64FF">
        <w:rPr>
          <w:lang w:val="es-MX"/>
        </w:rPr>
        <w:t>número 53 de fecha 29 de diciembre de 2021, en el cual se aprueba el Plan Anual de Fiscalización de la Cuenta Pública de las Haciendas Municipales correspondiente al Ejercicio Fis</w:t>
      </w:r>
      <w:r w:rsidRPr="00115E09">
        <w:rPr>
          <w:lang w:val="es-MX"/>
        </w:rPr>
        <w:t>cal 202</w:t>
      </w:r>
      <w:r>
        <w:rPr>
          <w:lang w:val="es-MX"/>
        </w:rPr>
        <w:t>1</w:t>
      </w:r>
      <w:r w:rsidRPr="00115E09">
        <w:rPr>
          <w:lang w:val="es-MX"/>
        </w:rPr>
        <w:t>, presentado por la Auditoría Superior de Michoacán</w:t>
      </w:r>
      <w:r w:rsidRPr="00E362B1">
        <w:rPr>
          <w:lang w:val="es-MX"/>
        </w:rPr>
        <w:t>, en sus términos y con las instrucciones vertidas en el articulado de dicho Acuerdo.</w:t>
      </w:r>
    </w:p>
    <w:p w14:paraId="72B8AE1B" w14:textId="77777777" w:rsidR="00C73699" w:rsidRDefault="00C73699" w:rsidP="00C73699"/>
    <w:p w14:paraId="31FC46BC" w14:textId="77777777" w:rsidR="00C73699" w:rsidRDefault="00C73699" w:rsidP="00C73699">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363256C4" w14:textId="77777777" w:rsidR="00C73699" w:rsidRPr="005A4B09" w:rsidRDefault="00C73699" w:rsidP="00C73699">
      <w:pPr>
        <w:rPr>
          <w:rFonts w:eastAsiaTheme="minorHAnsi"/>
          <w:lang w:eastAsia="en-US"/>
        </w:rPr>
      </w:pPr>
    </w:p>
    <w:p w14:paraId="44376715" w14:textId="77777777" w:rsidR="00C73699" w:rsidRDefault="00C73699" w:rsidP="00C73699">
      <w:pPr>
        <w:tabs>
          <w:tab w:val="left" w:pos="360"/>
        </w:tabs>
        <w:rPr>
          <w:rFonts w:eastAsia="Arial" w:cs="Arial"/>
          <w:spacing w:val="-1"/>
        </w:rPr>
      </w:pPr>
      <w:r w:rsidRPr="005564C8">
        <w:rPr>
          <w:rFonts w:eastAsia="Arial" w:cs="Arial"/>
          <w:spacing w:val="-1"/>
        </w:rPr>
        <w:t>Proporcionar, a través de la recopilación de evidencia de auditoría suficiente y apropiada, garantías razonables mediante una opinión o un informe de auditoría, de que los estados financieros u otras formas de información financiera se presentan fielmente en todos los aspectos significativos de conformidad con el marco de información financiera y regulatorio aplicable</w:t>
      </w:r>
      <w:r>
        <w:rPr>
          <w:rFonts w:eastAsia="Arial" w:cs="Arial"/>
          <w:spacing w:val="-1"/>
        </w:rPr>
        <w:t>.</w:t>
      </w:r>
    </w:p>
    <w:p w14:paraId="1C7A6E38" w14:textId="77777777" w:rsidR="00C73699" w:rsidRDefault="00C73699" w:rsidP="00C73699">
      <w:pPr>
        <w:tabs>
          <w:tab w:val="left" w:pos="360"/>
        </w:tabs>
        <w:rPr>
          <w:rFonts w:eastAsia="Arial" w:cs="Arial"/>
          <w:spacing w:val="-1"/>
        </w:rPr>
      </w:pPr>
    </w:p>
    <w:p w14:paraId="1FE308CD" w14:textId="77777777" w:rsidR="00C73699" w:rsidRPr="00115E09" w:rsidRDefault="00C73699" w:rsidP="00C73699">
      <w:pPr>
        <w:pStyle w:val="Ttulo3"/>
        <w:rPr>
          <w:rFonts w:eastAsiaTheme="minorHAnsi"/>
          <w:lang w:eastAsia="en-US"/>
        </w:rPr>
      </w:pPr>
      <w:r w:rsidRPr="00115E09">
        <w:rPr>
          <w:rFonts w:eastAsiaTheme="minorHAnsi"/>
          <w:lang w:eastAsia="en-US"/>
        </w:rPr>
        <w:t>ALCANCE.</w:t>
      </w:r>
    </w:p>
    <w:p w14:paraId="63D56BA0" w14:textId="77777777" w:rsidR="00C73699" w:rsidRPr="00115E09" w:rsidRDefault="00C73699" w:rsidP="00C73699">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C73699" w:rsidRPr="00BD18CC" w14:paraId="6EB9DBC8" w14:textId="77777777" w:rsidTr="006C6135">
        <w:tc>
          <w:tcPr>
            <w:tcW w:w="4820" w:type="dxa"/>
          </w:tcPr>
          <w:p w14:paraId="0D8EBA16" w14:textId="77777777" w:rsidR="00C73699" w:rsidRPr="00544D4D" w:rsidRDefault="00C73699" w:rsidP="006C6135">
            <w:pPr>
              <w:spacing w:line="0" w:lineRule="atLeast"/>
              <w:rPr>
                <w:rFonts w:cs="Arial"/>
                <w:lang w:val="es-MX" w:eastAsia="es-MX"/>
              </w:rPr>
            </w:pPr>
            <w:r w:rsidRPr="00544D4D">
              <w:rPr>
                <w:rFonts w:cs="Arial"/>
                <w:lang w:val="es-MX" w:eastAsia="es-MX"/>
              </w:rPr>
              <w:t>Universo</w:t>
            </w:r>
          </w:p>
          <w:p w14:paraId="3785931E" w14:textId="77777777" w:rsidR="00C73699" w:rsidRPr="00544D4D" w:rsidRDefault="00C73699" w:rsidP="006C6135">
            <w:pPr>
              <w:spacing w:line="0" w:lineRule="atLeast"/>
              <w:rPr>
                <w:rFonts w:cs="Arial"/>
                <w:b/>
                <w:lang w:val="es-MX" w:eastAsia="es-MX"/>
              </w:rPr>
            </w:pPr>
          </w:p>
        </w:tc>
        <w:tc>
          <w:tcPr>
            <w:tcW w:w="567" w:type="dxa"/>
          </w:tcPr>
          <w:p w14:paraId="1A69B76C" w14:textId="77777777" w:rsidR="00C73699" w:rsidRPr="00544D4D" w:rsidRDefault="00C73699" w:rsidP="006C6135">
            <w:pPr>
              <w:spacing w:line="0" w:lineRule="atLeast"/>
              <w:rPr>
                <w:rFonts w:cs="Arial"/>
                <w:b/>
                <w:lang w:val="es-MX" w:eastAsia="es-MX"/>
              </w:rPr>
            </w:pPr>
          </w:p>
        </w:tc>
        <w:tc>
          <w:tcPr>
            <w:tcW w:w="1560" w:type="dxa"/>
          </w:tcPr>
          <w:p w14:paraId="64AE75AF" w14:textId="427E775E" w:rsidR="00C73699" w:rsidRPr="00544D4D" w:rsidRDefault="00630566" w:rsidP="006C6135">
            <w:pPr>
              <w:spacing w:line="0" w:lineRule="atLeast"/>
              <w:jc w:val="right"/>
              <w:rPr>
                <w:rFonts w:cs="Arial"/>
                <w:b/>
                <w:lang w:val="es-MX" w:eastAsia="es-MX"/>
              </w:rPr>
            </w:pPr>
            <w:r w:rsidRPr="00630566">
              <w:rPr>
                <w:rFonts w:cs="Arial"/>
                <w:lang w:val="es-MX" w:eastAsia="es-MX"/>
              </w:rPr>
              <w:t>3,289,70</w:t>
            </w:r>
            <w:r>
              <w:rPr>
                <w:rFonts w:cs="Arial"/>
                <w:lang w:val="es-MX" w:eastAsia="es-MX"/>
              </w:rPr>
              <w:t>9</w:t>
            </w:r>
          </w:p>
        </w:tc>
        <w:tc>
          <w:tcPr>
            <w:tcW w:w="1560" w:type="dxa"/>
          </w:tcPr>
          <w:p w14:paraId="13E5B768" w14:textId="77777777" w:rsidR="00C73699" w:rsidRPr="00544D4D" w:rsidRDefault="00C73699" w:rsidP="006C6135">
            <w:pPr>
              <w:spacing w:line="0" w:lineRule="atLeast"/>
              <w:rPr>
                <w:rFonts w:cs="Arial"/>
                <w:lang w:val="es-MX" w:eastAsia="es-MX"/>
              </w:rPr>
            </w:pPr>
            <w:r w:rsidRPr="00544D4D">
              <w:rPr>
                <w:rFonts w:cs="Arial"/>
                <w:lang w:val="es-MX" w:eastAsia="es-MX"/>
              </w:rPr>
              <w:t>Pesos</w:t>
            </w:r>
          </w:p>
        </w:tc>
      </w:tr>
      <w:tr w:rsidR="00C73699" w:rsidRPr="00BD18CC" w14:paraId="0D98960C" w14:textId="77777777" w:rsidTr="006C6135">
        <w:tc>
          <w:tcPr>
            <w:tcW w:w="4820" w:type="dxa"/>
          </w:tcPr>
          <w:p w14:paraId="6B31810A" w14:textId="77777777" w:rsidR="00C73699" w:rsidRPr="00544D4D" w:rsidRDefault="00C73699" w:rsidP="006C6135">
            <w:pPr>
              <w:spacing w:line="0" w:lineRule="atLeast"/>
              <w:rPr>
                <w:rFonts w:cs="Arial"/>
                <w:szCs w:val="22"/>
                <w:lang w:eastAsia="es-MX"/>
              </w:rPr>
            </w:pPr>
            <w:r w:rsidRPr="00544D4D">
              <w:rPr>
                <w:rFonts w:cs="Arial"/>
                <w:szCs w:val="22"/>
                <w:lang w:eastAsia="es-MX"/>
              </w:rPr>
              <w:t xml:space="preserve">Recurso Fiscales e Ingresos Propios </w:t>
            </w:r>
          </w:p>
          <w:p w14:paraId="6530405C" w14:textId="77777777" w:rsidR="00C73699" w:rsidRPr="00BD18CC" w:rsidRDefault="00C73699" w:rsidP="006C6135">
            <w:pPr>
              <w:spacing w:line="0" w:lineRule="atLeast"/>
              <w:rPr>
                <w:rFonts w:cs="Arial"/>
                <w:szCs w:val="22"/>
                <w:highlight w:val="yellow"/>
                <w:lang w:eastAsia="es-MX"/>
              </w:rPr>
            </w:pPr>
            <w:r w:rsidRPr="00544D4D">
              <w:rPr>
                <w:rFonts w:cs="Arial"/>
                <w:szCs w:val="22"/>
                <w:lang w:eastAsia="es-MX"/>
              </w:rPr>
              <w:t>(Ingresos de Gestión)</w:t>
            </w:r>
          </w:p>
        </w:tc>
        <w:tc>
          <w:tcPr>
            <w:tcW w:w="567" w:type="dxa"/>
          </w:tcPr>
          <w:p w14:paraId="072200A3" w14:textId="77777777" w:rsidR="00C73699" w:rsidRPr="00BD18CC" w:rsidRDefault="00C73699" w:rsidP="006C6135">
            <w:pPr>
              <w:spacing w:line="0" w:lineRule="atLeast"/>
              <w:rPr>
                <w:rFonts w:cs="Arial"/>
                <w:b/>
                <w:highlight w:val="yellow"/>
                <w:lang w:val="es-MX" w:eastAsia="es-MX"/>
              </w:rPr>
            </w:pPr>
          </w:p>
        </w:tc>
        <w:tc>
          <w:tcPr>
            <w:tcW w:w="1560" w:type="dxa"/>
          </w:tcPr>
          <w:p w14:paraId="3E7F2051" w14:textId="4627B024" w:rsidR="00C73699" w:rsidRPr="00544D4D" w:rsidRDefault="00630566" w:rsidP="006C6135">
            <w:pPr>
              <w:spacing w:line="0" w:lineRule="atLeast"/>
              <w:jc w:val="right"/>
              <w:rPr>
                <w:rFonts w:cs="Arial"/>
                <w:lang w:val="es-MX" w:eastAsia="es-MX"/>
              </w:rPr>
            </w:pPr>
            <w:r w:rsidRPr="00630566">
              <w:rPr>
                <w:rFonts w:cs="Arial"/>
                <w:lang w:val="es-MX" w:eastAsia="es-MX"/>
              </w:rPr>
              <w:t>3,289,70</w:t>
            </w:r>
            <w:r>
              <w:rPr>
                <w:rFonts w:cs="Arial"/>
                <w:lang w:val="es-MX" w:eastAsia="es-MX"/>
              </w:rPr>
              <w:t>9</w:t>
            </w:r>
          </w:p>
        </w:tc>
        <w:tc>
          <w:tcPr>
            <w:tcW w:w="1560" w:type="dxa"/>
          </w:tcPr>
          <w:p w14:paraId="2E07989F" w14:textId="77777777" w:rsidR="00C73699" w:rsidRPr="00544D4D" w:rsidRDefault="00C73699" w:rsidP="006C6135">
            <w:pPr>
              <w:spacing w:line="0" w:lineRule="atLeast"/>
              <w:rPr>
                <w:rFonts w:cs="Arial"/>
                <w:lang w:val="es-MX" w:eastAsia="es-MX"/>
              </w:rPr>
            </w:pPr>
            <w:r w:rsidRPr="00544D4D">
              <w:rPr>
                <w:rFonts w:cs="Arial"/>
                <w:lang w:val="es-MX" w:eastAsia="es-MX"/>
              </w:rPr>
              <w:t>Pesos</w:t>
            </w:r>
          </w:p>
          <w:p w14:paraId="7476D364" w14:textId="77777777" w:rsidR="00C73699" w:rsidRPr="00544D4D" w:rsidRDefault="00C73699" w:rsidP="006C6135">
            <w:pPr>
              <w:spacing w:line="0" w:lineRule="atLeast"/>
              <w:rPr>
                <w:rFonts w:cs="Arial"/>
                <w:lang w:val="es-MX" w:eastAsia="es-MX"/>
              </w:rPr>
            </w:pPr>
          </w:p>
        </w:tc>
      </w:tr>
    </w:tbl>
    <w:p w14:paraId="31C1016F" w14:textId="77777777" w:rsidR="00C73699" w:rsidRPr="00BD18CC" w:rsidRDefault="00C73699" w:rsidP="00C73699">
      <w:pPr>
        <w:spacing w:line="0" w:lineRule="atLeast"/>
        <w:rPr>
          <w:rFonts w:eastAsiaTheme="minorHAnsi" w:cs="Arial"/>
          <w:b/>
          <w:highlight w:val="yellow"/>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630566" w:rsidRPr="00BD18CC" w14:paraId="1810A7B5" w14:textId="77777777" w:rsidTr="006C6135">
        <w:tc>
          <w:tcPr>
            <w:tcW w:w="4820" w:type="dxa"/>
          </w:tcPr>
          <w:p w14:paraId="5460C635" w14:textId="77777777" w:rsidR="00630566" w:rsidRPr="000D0641" w:rsidRDefault="00630566" w:rsidP="00630566">
            <w:pPr>
              <w:spacing w:line="0" w:lineRule="atLeast"/>
              <w:rPr>
                <w:rFonts w:cs="Arial"/>
                <w:b/>
                <w:lang w:val="es-MX" w:eastAsia="es-MX"/>
              </w:rPr>
            </w:pPr>
            <w:proofErr w:type="gramStart"/>
            <w:r w:rsidRPr="000D0641">
              <w:rPr>
                <w:rFonts w:cs="Arial"/>
                <w:lang w:val="es-MX" w:eastAsia="es-MX"/>
              </w:rPr>
              <w:t>Universo a Fiscalizar</w:t>
            </w:r>
            <w:proofErr w:type="gramEnd"/>
          </w:p>
        </w:tc>
        <w:tc>
          <w:tcPr>
            <w:tcW w:w="567" w:type="dxa"/>
          </w:tcPr>
          <w:p w14:paraId="1FA0B2A7" w14:textId="77777777" w:rsidR="00630566" w:rsidRPr="000D0641" w:rsidRDefault="00630566" w:rsidP="00630566">
            <w:pPr>
              <w:spacing w:line="0" w:lineRule="atLeast"/>
              <w:rPr>
                <w:rFonts w:cs="Arial"/>
                <w:b/>
                <w:lang w:val="es-MX" w:eastAsia="es-MX"/>
              </w:rPr>
            </w:pPr>
          </w:p>
        </w:tc>
        <w:tc>
          <w:tcPr>
            <w:tcW w:w="1560" w:type="dxa"/>
          </w:tcPr>
          <w:p w14:paraId="72F26A83" w14:textId="546367A3" w:rsidR="00630566" w:rsidRPr="000D0641" w:rsidRDefault="00630566" w:rsidP="00630566">
            <w:pPr>
              <w:spacing w:line="0" w:lineRule="atLeast"/>
              <w:jc w:val="right"/>
              <w:rPr>
                <w:rFonts w:cs="Arial"/>
                <w:b/>
                <w:lang w:val="es-MX" w:eastAsia="es-MX"/>
              </w:rPr>
            </w:pPr>
            <w:r w:rsidRPr="00630566">
              <w:rPr>
                <w:rFonts w:cs="Arial"/>
                <w:lang w:val="es-MX" w:eastAsia="es-MX"/>
              </w:rPr>
              <w:t>3,289,70</w:t>
            </w:r>
            <w:r>
              <w:rPr>
                <w:rFonts w:cs="Arial"/>
                <w:lang w:val="es-MX" w:eastAsia="es-MX"/>
              </w:rPr>
              <w:t>9</w:t>
            </w:r>
          </w:p>
        </w:tc>
        <w:tc>
          <w:tcPr>
            <w:tcW w:w="1560" w:type="dxa"/>
          </w:tcPr>
          <w:p w14:paraId="58ED061F" w14:textId="77777777" w:rsidR="00630566" w:rsidRPr="000D0641" w:rsidRDefault="00630566" w:rsidP="00630566">
            <w:pPr>
              <w:spacing w:line="0" w:lineRule="atLeast"/>
              <w:rPr>
                <w:rFonts w:cs="Arial"/>
                <w:lang w:val="es-MX" w:eastAsia="es-MX"/>
              </w:rPr>
            </w:pPr>
            <w:r w:rsidRPr="000D0641">
              <w:rPr>
                <w:rFonts w:cs="Arial"/>
                <w:lang w:val="es-MX" w:eastAsia="es-MX"/>
              </w:rPr>
              <w:t>Pesos</w:t>
            </w:r>
          </w:p>
        </w:tc>
      </w:tr>
      <w:tr w:rsidR="00C73699" w:rsidRPr="00BD18CC" w14:paraId="48D47CD0" w14:textId="77777777" w:rsidTr="006C6135">
        <w:tc>
          <w:tcPr>
            <w:tcW w:w="4820" w:type="dxa"/>
          </w:tcPr>
          <w:p w14:paraId="51FE996E" w14:textId="77777777" w:rsidR="00C73699" w:rsidRPr="000D0641" w:rsidRDefault="00C73699" w:rsidP="006C6135">
            <w:pPr>
              <w:spacing w:line="0" w:lineRule="atLeast"/>
              <w:rPr>
                <w:rFonts w:cs="Arial"/>
                <w:b/>
                <w:lang w:val="es-MX" w:eastAsia="es-MX"/>
              </w:rPr>
            </w:pPr>
            <w:r w:rsidRPr="000D0641">
              <w:rPr>
                <w:rFonts w:cs="Arial"/>
                <w:lang w:val="es-MX" w:eastAsia="es-MX"/>
              </w:rPr>
              <w:t>Muestra Auditada</w:t>
            </w:r>
          </w:p>
        </w:tc>
        <w:tc>
          <w:tcPr>
            <w:tcW w:w="567" w:type="dxa"/>
          </w:tcPr>
          <w:p w14:paraId="2F50E029" w14:textId="77777777" w:rsidR="00C73699" w:rsidRPr="000D0641" w:rsidRDefault="00C73699" w:rsidP="006C6135">
            <w:pPr>
              <w:spacing w:line="0" w:lineRule="atLeast"/>
              <w:rPr>
                <w:rFonts w:cs="Arial"/>
                <w:b/>
                <w:lang w:val="es-MX" w:eastAsia="es-MX"/>
              </w:rPr>
            </w:pPr>
          </w:p>
        </w:tc>
        <w:tc>
          <w:tcPr>
            <w:tcW w:w="1560" w:type="dxa"/>
          </w:tcPr>
          <w:p w14:paraId="4CB45E82" w14:textId="02F14E58" w:rsidR="00C73699" w:rsidRPr="000D0641" w:rsidRDefault="0093639F" w:rsidP="006C6135">
            <w:pPr>
              <w:spacing w:line="0" w:lineRule="atLeast"/>
              <w:jc w:val="right"/>
              <w:rPr>
                <w:rFonts w:cs="Arial"/>
                <w:lang w:val="es-MX" w:eastAsia="es-MX"/>
              </w:rPr>
            </w:pPr>
            <w:r w:rsidRPr="0093639F">
              <w:rPr>
                <w:rFonts w:cs="Arial"/>
                <w:lang w:val="es-MX" w:eastAsia="es-MX"/>
              </w:rPr>
              <w:t>1,652,850</w:t>
            </w:r>
          </w:p>
        </w:tc>
        <w:tc>
          <w:tcPr>
            <w:tcW w:w="1560" w:type="dxa"/>
          </w:tcPr>
          <w:p w14:paraId="3E9A845B" w14:textId="77777777" w:rsidR="00C73699" w:rsidRPr="000D0641" w:rsidRDefault="00C73699" w:rsidP="006C6135">
            <w:pPr>
              <w:spacing w:line="0" w:lineRule="atLeast"/>
              <w:rPr>
                <w:rFonts w:cs="Arial"/>
                <w:b/>
                <w:lang w:val="es-MX" w:eastAsia="es-MX"/>
              </w:rPr>
            </w:pPr>
            <w:r w:rsidRPr="000D0641">
              <w:rPr>
                <w:rFonts w:cs="Arial"/>
                <w:lang w:val="es-MX" w:eastAsia="es-MX"/>
              </w:rPr>
              <w:t>Pesos</w:t>
            </w:r>
          </w:p>
        </w:tc>
      </w:tr>
      <w:tr w:rsidR="00C73699" w:rsidRPr="00115E09" w14:paraId="45AE4744" w14:textId="77777777" w:rsidTr="006C6135">
        <w:tc>
          <w:tcPr>
            <w:tcW w:w="4820" w:type="dxa"/>
          </w:tcPr>
          <w:p w14:paraId="1AC504AB" w14:textId="77777777" w:rsidR="00C73699" w:rsidRPr="000D0641" w:rsidRDefault="00C73699" w:rsidP="006C6135">
            <w:pPr>
              <w:spacing w:line="0" w:lineRule="atLeast"/>
              <w:ind w:left="459" w:hanging="459"/>
              <w:rPr>
                <w:rFonts w:cs="Arial"/>
                <w:lang w:val="es-MX" w:eastAsia="es-MX"/>
              </w:rPr>
            </w:pPr>
            <w:r w:rsidRPr="000D0641">
              <w:rPr>
                <w:rFonts w:cs="Arial"/>
                <w:lang w:val="es-MX" w:eastAsia="es-MX"/>
              </w:rPr>
              <w:t>Representatividad de la muestra</w:t>
            </w:r>
          </w:p>
          <w:p w14:paraId="1350C414" w14:textId="77777777" w:rsidR="00C73699" w:rsidRPr="000D0641" w:rsidRDefault="00C73699" w:rsidP="006C6135">
            <w:pPr>
              <w:spacing w:line="0" w:lineRule="atLeast"/>
              <w:ind w:left="459" w:hanging="459"/>
              <w:rPr>
                <w:rFonts w:cs="Arial"/>
                <w:b/>
                <w:lang w:val="es-MX" w:eastAsia="es-MX"/>
              </w:rPr>
            </w:pPr>
          </w:p>
        </w:tc>
        <w:tc>
          <w:tcPr>
            <w:tcW w:w="567" w:type="dxa"/>
          </w:tcPr>
          <w:p w14:paraId="1C7EF056" w14:textId="77777777" w:rsidR="00C73699" w:rsidRPr="000D0641" w:rsidRDefault="00C73699" w:rsidP="006C6135">
            <w:pPr>
              <w:spacing w:line="0" w:lineRule="atLeast"/>
              <w:rPr>
                <w:rFonts w:cs="Arial"/>
                <w:b/>
                <w:lang w:val="es-MX" w:eastAsia="es-MX"/>
              </w:rPr>
            </w:pPr>
          </w:p>
        </w:tc>
        <w:tc>
          <w:tcPr>
            <w:tcW w:w="1560" w:type="dxa"/>
          </w:tcPr>
          <w:p w14:paraId="4CD6C824" w14:textId="498C0E94" w:rsidR="00C73699" w:rsidRPr="000D0641" w:rsidRDefault="00A4722D" w:rsidP="006C6135">
            <w:pPr>
              <w:spacing w:line="0" w:lineRule="atLeast"/>
              <w:jc w:val="right"/>
              <w:rPr>
                <w:rFonts w:cs="Arial"/>
                <w:lang w:val="es-MX" w:eastAsia="es-MX"/>
              </w:rPr>
            </w:pPr>
            <w:r>
              <w:rPr>
                <w:rFonts w:cs="Arial"/>
                <w:lang w:val="es-MX" w:eastAsia="es-MX"/>
              </w:rPr>
              <w:t>50</w:t>
            </w:r>
          </w:p>
        </w:tc>
        <w:tc>
          <w:tcPr>
            <w:tcW w:w="1560" w:type="dxa"/>
          </w:tcPr>
          <w:p w14:paraId="66C8F00E" w14:textId="77777777" w:rsidR="00C73699" w:rsidRPr="000D0641" w:rsidRDefault="00C73699" w:rsidP="006C6135">
            <w:pPr>
              <w:spacing w:line="0" w:lineRule="atLeast"/>
              <w:rPr>
                <w:rFonts w:cs="Arial"/>
                <w:b/>
                <w:lang w:val="es-MX" w:eastAsia="es-MX"/>
              </w:rPr>
            </w:pPr>
            <w:r w:rsidRPr="000D0641">
              <w:rPr>
                <w:rFonts w:cs="Arial"/>
                <w:lang w:val="es-MX" w:eastAsia="es-MX"/>
              </w:rPr>
              <w:t>Por ciento</w:t>
            </w:r>
          </w:p>
        </w:tc>
      </w:tr>
    </w:tbl>
    <w:p w14:paraId="49F0D10C" w14:textId="77777777" w:rsidR="00C73699" w:rsidRDefault="00C73699" w:rsidP="00C73699">
      <w:pPr>
        <w:rPr>
          <w:rFonts w:cs="Arial"/>
          <w:b/>
          <w:szCs w:val="22"/>
        </w:rPr>
      </w:pPr>
    </w:p>
    <w:p w14:paraId="36908EEE" w14:textId="77777777" w:rsidR="00C73699" w:rsidRDefault="00C73699" w:rsidP="00C73699">
      <w:pPr>
        <w:rPr>
          <w:rFonts w:cs="Arial"/>
          <w:szCs w:val="22"/>
        </w:rPr>
      </w:pPr>
    </w:p>
    <w:p w14:paraId="62C80492" w14:textId="77777777" w:rsidR="00C73699" w:rsidRDefault="00C73699" w:rsidP="00C73699">
      <w:pPr>
        <w:rPr>
          <w:rFonts w:cs="Arial"/>
          <w:szCs w:val="22"/>
        </w:rPr>
      </w:pPr>
    </w:p>
    <w:p w14:paraId="2E643327" w14:textId="77777777" w:rsidR="00C73699" w:rsidRDefault="00C73699" w:rsidP="00C73699">
      <w:pPr>
        <w:rPr>
          <w:rFonts w:cs="Arial"/>
          <w:szCs w:val="22"/>
        </w:rPr>
      </w:pPr>
    </w:p>
    <w:p w14:paraId="2A9AE754" w14:textId="06CE9E24" w:rsidR="001F71FB" w:rsidRPr="001F71FB" w:rsidRDefault="00C73699" w:rsidP="001F71FB">
      <w:pPr>
        <w:spacing w:line="240" w:lineRule="auto"/>
        <w:rPr>
          <w:rFonts w:ascii="Calibri" w:hAnsi="Calibri" w:cs="Calibri"/>
          <w:b/>
          <w:bCs/>
          <w:color w:val="000000"/>
          <w:szCs w:val="22"/>
          <w:lang w:val="es-MX" w:eastAsia="es-MX"/>
        </w:rPr>
      </w:pPr>
      <w:r w:rsidRPr="007E51E2">
        <w:rPr>
          <w:rFonts w:cs="Arial"/>
          <w:szCs w:val="22"/>
        </w:rPr>
        <w:t>De los ingresos obtenidos, se conoció que la Entidad Fiscalizada durante el ejercicio sujeto a rev</w:t>
      </w:r>
      <w:r w:rsidR="007E51E2" w:rsidRPr="007E51E2">
        <w:rPr>
          <w:rFonts w:cs="Arial"/>
          <w:szCs w:val="22"/>
        </w:rPr>
        <w:t xml:space="preserve">isión, ejerció la cantidad de </w:t>
      </w:r>
      <w:r w:rsidR="001F71FB">
        <w:rPr>
          <w:rFonts w:cs="Arial"/>
          <w:szCs w:val="22"/>
        </w:rPr>
        <w:t>3</w:t>
      </w:r>
      <w:r w:rsidR="007E51E2" w:rsidRPr="007E51E2">
        <w:rPr>
          <w:rFonts w:cs="Arial"/>
          <w:szCs w:val="22"/>
        </w:rPr>
        <w:t xml:space="preserve"> millones </w:t>
      </w:r>
      <w:r w:rsidR="001C5750">
        <w:rPr>
          <w:rFonts w:cs="Arial"/>
          <w:szCs w:val="22"/>
        </w:rPr>
        <w:t>289</w:t>
      </w:r>
      <w:r w:rsidR="007E51E2" w:rsidRPr="007E51E2">
        <w:rPr>
          <w:rFonts w:cs="Arial"/>
          <w:szCs w:val="22"/>
        </w:rPr>
        <w:t xml:space="preserve"> mil</w:t>
      </w:r>
      <w:r w:rsidR="001F71FB">
        <w:rPr>
          <w:rFonts w:cs="Arial"/>
          <w:szCs w:val="22"/>
        </w:rPr>
        <w:t xml:space="preserve"> 7</w:t>
      </w:r>
      <w:r w:rsidR="001C5750">
        <w:rPr>
          <w:rFonts w:cs="Arial"/>
          <w:szCs w:val="22"/>
        </w:rPr>
        <w:t>09</w:t>
      </w:r>
      <w:r w:rsidRPr="007E51E2">
        <w:rPr>
          <w:rFonts w:cs="Arial"/>
          <w:szCs w:val="22"/>
        </w:rPr>
        <w:t xml:space="preserve"> pesos, de los cuales la muestra </w:t>
      </w:r>
      <w:r w:rsidRPr="000D0641">
        <w:rPr>
          <w:rFonts w:cs="Arial"/>
          <w:szCs w:val="22"/>
        </w:rPr>
        <w:t xml:space="preserve">auditada fue de </w:t>
      </w:r>
      <w:r w:rsidRPr="00D61A00">
        <w:rPr>
          <w:rFonts w:cs="Arial"/>
          <w:szCs w:val="22"/>
        </w:rPr>
        <w:t xml:space="preserve">un </w:t>
      </w:r>
      <w:r w:rsidR="00B944A8" w:rsidRPr="00D61A00">
        <w:rPr>
          <w:rFonts w:cs="Arial"/>
          <w:szCs w:val="22"/>
        </w:rPr>
        <w:t>4</w:t>
      </w:r>
      <w:r w:rsidR="00A57A82" w:rsidRPr="00D61A00">
        <w:rPr>
          <w:rFonts w:cs="Arial"/>
          <w:szCs w:val="22"/>
        </w:rPr>
        <w:t>4</w:t>
      </w:r>
      <w:r w:rsidRPr="00D61A00">
        <w:rPr>
          <w:rFonts w:cs="Arial"/>
          <w:szCs w:val="22"/>
        </w:rPr>
        <w:t xml:space="preserve"> por ciento.</w:t>
      </w:r>
    </w:p>
    <w:p w14:paraId="550B180A" w14:textId="4DAACCFB" w:rsidR="00C73699" w:rsidRDefault="00C73699" w:rsidP="00C73699">
      <w:pPr>
        <w:rPr>
          <w:rFonts w:cs="Arial"/>
          <w:szCs w:val="22"/>
        </w:rPr>
      </w:pPr>
    </w:p>
    <w:p w14:paraId="25A60C4E" w14:textId="77777777" w:rsidR="00C73699" w:rsidRPr="00DF221C" w:rsidRDefault="00C73699" w:rsidP="00C73699">
      <w:pPr>
        <w:rPr>
          <w:rFonts w:cs="Arial"/>
          <w:szCs w:val="22"/>
        </w:rPr>
      </w:pPr>
    </w:p>
    <w:p w14:paraId="6E32C98D" w14:textId="77777777" w:rsidR="00C73699" w:rsidRPr="001954FE" w:rsidRDefault="00C73699" w:rsidP="00C73699">
      <w:pPr>
        <w:rPr>
          <w:rFonts w:cs="Arial"/>
          <w:b/>
          <w:szCs w:val="22"/>
        </w:rPr>
      </w:pPr>
      <w:r w:rsidRPr="001954FE">
        <w:rPr>
          <w:rFonts w:cs="Arial"/>
          <w:b/>
          <w:szCs w:val="22"/>
        </w:rPr>
        <w:t>PROCEDIMIENTOS DE AUDITORÍA APLICADOS</w:t>
      </w:r>
    </w:p>
    <w:p w14:paraId="2D6B0F6C" w14:textId="77777777" w:rsidR="00C73699" w:rsidRPr="008A5663" w:rsidRDefault="00C73699" w:rsidP="00C73699">
      <w:pPr>
        <w:rPr>
          <w:rFonts w:cs="Arial"/>
          <w:szCs w:val="22"/>
          <w:highlight w:val="yellow"/>
        </w:rPr>
      </w:pPr>
    </w:p>
    <w:p w14:paraId="7F3B7CF8" w14:textId="2069C7A7" w:rsidR="00C73699" w:rsidRPr="004E2BFC" w:rsidRDefault="00361400" w:rsidP="00C73699">
      <w:pPr>
        <w:rPr>
          <w:rFonts w:cs="Arial"/>
          <w:szCs w:val="22"/>
        </w:rPr>
      </w:pPr>
      <w:bookmarkStart w:id="1" w:name="_Hlk123160310"/>
      <w:bookmarkStart w:id="2" w:name="_Hlk123160287"/>
      <w:r>
        <w:rPr>
          <w:rFonts w:cs="Arial"/>
          <w:szCs w:val="22"/>
        </w:rPr>
        <w:t>El</w:t>
      </w:r>
      <w:r w:rsidR="00C73699" w:rsidRPr="001954FE">
        <w:rPr>
          <w:rFonts w:cs="Arial"/>
          <w:szCs w:val="22"/>
        </w:rPr>
        <w:t xml:space="preserve"> procedimiento de auditoría aplicado durante la fiscalización, </w:t>
      </w:r>
      <w:r w:rsidR="00C73699">
        <w:rPr>
          <w:rFonts w:cs="Arial"/>
          <w:szCs w:val="22"/>
        </w:rPr>
        <w:t>cuyo alcance fue del 100</w:t>
      </w:r>
      <w:r w:rsidR="00C73699" w:rsidRPr="00710EA7">
        <w:rPr>
          <w:rFonts w:cs="Arial"/>
          <w:szCs w:val="22"/>
        </w:rPr>
        <w:t xml:space="preserve"> </w:t>
      </w:r>
      <w:r w:rsidR="00C73699" w:rsidRPr="004E2BFC">
        <w:rPr>
          <w:rFonts w:cs="Arial"/>
          <w:szCs w:val="22"/>
        </w:rPr>
        <w:t xml:space="preserve">por ciento, </w:t>
      </w:r>
      <w:r>
        <w:rPr>
          <w:rFonts w:cs="Arial"/>
          <w:szCs w:val="22"/>
        </w:rPr>
        <w:t>fue</w:t>
      </w:r>
      <w:r w:rsidR="00C73699" w:rsidRPr="004E2BFC">
        <w:rPr>
          <w:rFonts w:cs="Arial"/>
          <w:szCs w:val="22"/>
        </w:rPr>
        <w:t xml:space="preserve"> </w:t>
      </w:r>
      <w:r>
        <w:rPr>
          <w:rFonts w:cs="Arial"/>
          <w:szCs w:val="22"/>
        </w:rPr>
        <w:t>el</w:t>
      </w:r>
      <w:r w:rsidR="00C73699" w:rsidRPr="004E2BFC">
        <w:rPr>
          <w:rFonts w:cs="Arial"/>
          <w:szCs w:val="22"/>
        </w:rPr>
        <w:t xml:space="preserve"> siguiente:</w:t>
      </w:r>
    </w:p>
    <w:bookmarkEnd w:id="1"/>
    <w:p w14:paraId="28363506" w14:textId="77777777" w:rsidR="00C73699" w:rsidRPr="001954FE" w:rsidRDefault="00C73699" w:rsidP="00C73699">
      <w:pPr>
        <w:rPr>
          <w:rFonts w:cs="Arial"/>
          <w:szCs w:val="22"/>
        </w:rPr>
      </w:pPr>
    </w:p>
    <w:p w14:paraId="74F903DD" w14:textId="56879F27" w:rsidR="00D835B7" w:rsidRDefault="00C73699" w:rsidP="00C73699">
      <w:pPr>
        <w:pStyle w:val="Prrafodelista"/>
        <w:numPr>
          <w:ilvl w:val="0"/>
          <w:numId w:val="37"/>
        </w:numPr>
        <w:rPr>
          <w:rFonts w:ascii="Arial" w:hAnsi="Arial" w:cs="Arial"/>
          <w:bCs/>
          <w:szCs w:val="22"/>
        </w:rPr>
      </w:pPr>
      <w:bookmarkStart w:id="3" w:name="_Hlk120788538"/>
      <w:r>
        <w:rPr>
          <w:rFonts w:ascii="Arial" w:hAnsi="Arial" w:cs="Arial"/>
          <w:bCs/>
          <w:szCs w:val="22"/>
        </w:rPr>
        <w:t>Revisión y análisis a las cifras que muestran los Estados Financieros al 31 de diciembre de 2021.</w:t>
      </w:r>
    </w:p>
    <w:p w14:paraId="2BF191A2" w14:textId="6D6CADFE" w:rsidR="00972BB6" w:rsidRDefault="00972BB6" w:rsidP="00972BB6">
      <w:pPr>
        <w:pStyle w:val="Prrafodelista"/>
        <w:ind w:left="360"/>
        <w:rPr>
          <w:rFonts w:ascii="Arial" w:hAnsi="Arial" w:cs="Arial"/>
          <w:bCs/>
          <w:szCs w:val="22"/>
        </w:rPr>
      </w:pPr>
    </w:p>
    <w:p w14:paraId="6B7000DE" w14:textId="43AB414A" w:rsidR="00F96806" w:rsidRDefault="00F96806" w:rsidP="00972BB6">
      <w:pPr>
        <w:pStyle w:val="Prrafodelista"/>
        <w:numPr>
          <w:ilvl w:val="1"/>
          <w:numId w:val="39"/>
        </w:numPr>
        <w:rPr>
          <w:rFonts w:ascii="Arial" w:hAnsi="Arial" w:cs="Arial"/>
          <w:bCs/>
          <w:szCs w:val="22"/>
        </w:rPr>
      </w:pPr>
      <w:bookmarkStart w:id="4" w:name="_Hlk124851135"/>
      <w:proofErr w:type="gramStart"/>
      <w:r w:rsidRPr="00F96806">
        <w:rPr>
          <w:rFonts w:ascii="Arial" w:hAnsi="Arial" w:cs="Arial"/>
          <w:bCs/>
          <w:szCs w:val="22"/>
        </w:rPr>
        <w:t>Confirmar</w:t>
      </w:r>
      <w:proofErr w:type="gramEnd"/>
      <w:r w:rsidRPr="00F96806">
        <w:rPr>
          <w:rFonts w:ascii="Arial" w:hAnsi="Arial" w:cs="Arial"/>
          <w:bCs/>
          <w:szCs w:val="22"/>
        </w:rPr>
        <w:t xml:space="preserve"> que el inventario físico de la Entidad Fiscalizada se encuentre debidamente conciliado con los registros contables</w:t>
      </w:r>
      <w:bookmarkEnd w:id="4"/>
      <w:r>
        <w:rPr>
          <w:rFonts w:ascii="Arial" w:hAnsi="Arial" w:cs="Arial"/>
          <w:bCs/>
          <w:szCs w:val="22"/>
        </w:rPr>
        <w:t>.</w:t>
      </w:r>
    </w:p>
    <w:p w14:paraId="1282E623" w14:textId="77777777" w:rsidR="00F96806" w:rsidRPr="00F96806" w:rsidRDefault="00F96806" w:rsidP="00F96806">
      <w:pPr>
        <w:pStyle w:val="Prrafodelista"/>
        <w:rPr>
          <w:rFonts w:ascii="Arial" w:hAnsi="Arial" w:cs="Arial"/>
          <w:bCs/>
          <w:szCs w:val="22"/>
        </w:rPr>
      </w:pPr>
    </w:p>
    <w:p w14:paraId="1BF49EF5" w14:textId="30273E43" w:rsidR="00F96806" w:rsidRDefault="00F96806" w:rsidP="00972BB6">
      <w:pPr>
        <w:pStyle w:val="Prrafodelista"/>
        <w:numPr>
          <w:ilvl w:val="1"/>
          <w:numId w:val="39"/>
        </w:numPr>
        <w:rPr>
          <w:rFonts w:ascii="Arial" w:hAnsi="Arial" w:cs="Arial"/>
          <w:bCs/>
          <w:szCs w:val="22"/>
        </w:rPr>
      </w:pPr>
      <w:bookmarkStart w:id="5" w:name="_Hlk124851220"/>
      <w:r w:rsidRPr="00F96806">
        <w:rPr>
          <w:rFonts w:ascii="Arial" w:hAnsi="Arial" w:cs="Arial"/>
          <w:bCs/>
          <w:szCs w:val="22"/>
        </w:rPr>
        <w:t>Constatar que se efectuó el registro de las Depreciaciones y Amortizaciones de los bienes muebles e inmuebles, correspondientes al ejercicio sujeto a revisión</w:t>
      </w:r>
      <w:bookmarkEnd w:id="5"/>
      <w:r>
        <w:rPr>
          <w:rFonts w:ascii="Arial" w:hAnsi="Arial" w:cs="Arial"/>
          <w:bCs/>
          <w:szCs w:val="22"/>
        </w:rPr>
        <w:t>.</w:t>
      </w:r>
    </w:p>
    <w:p w14:paraId="5FCFAF88" w14:textId="77777777" w:rsidR="00F96806" w:rsidRPr="00F96806" w:rsidRDefault="00F96806" w:rsidP="00F96806">
      <w:pPr>
        <w:pStyle w:val="Prrafodelista"/>
        <w:rPr>
          <w:rFonts w:ascii="Arial" w:hAnsi="Arial" w:cs="Arial"/>
          <w:bCs/>
          <w:szCs w:val="22"/>
        </w:rPr>
      </w:pPr>
    </w:p>
    <w:p w14:paraId="6C8C5CC4" w14:textId="2F0BB94C" w:rsidR="00F96806" w:rsidRDefault="003D7E58" w:rsidP="00972BB6">
      <w:pPr>
        <w:pStyle w:val="Prrafodelista"/>
        <w:numPr>
          <w:ilvl w:val="1"/>
          <w:numId w:val="39"/>
        </w:numPr>
        <w:rPr>
          <w:rFonts w:ascii="Arial" w:hAnsi="Arial" w:cs="Arial"/>
          <w:bCs/>
          <w:szCs w:val="22"/>
        </w:rPr>
      </w:pPr>
      <w:bookmarkStart w:id="6" w:name="_Hlk124851236"/>
      <w:r w:rsidRPr="003D7E58">
        <w:rPr>
          <w:rFonts w:ascii="Arial" w:hAnsi="Arial" w:cs="Arial"/>
          <w:bCs/>
          <w:szCs w:val="22"/>
        </w:rPr>
        <w:t>Verificar que la Entidad haya cumplido con el principio de sostenibilidad presupuestal</w:t>
      </w:r>
      <w:bookmarkEnd w:id="6"/>
      <w:r w:rsidRPr="003D7E58">
        <w:rPr>
          <w:rFonts w:ascii="Arial" w:hAnsi="Arial" w:cs="Arial"/>
          <w:bCs/>
          <w:szCs w:val="22"/>
        </w:rPr>
        <w:t>.</w:t>
      </w:r>
    </w:p>
    <w:p w14:paraId="270362A5" w14:textId="77777777" w:rsidR="00190338" w:rsidRPr="00190338" w:rsidRDefault="00190338" w:rsidP="00190338">
      <w:pPr>
        <w:pStyle w:val="Prrafodelista"/>
        <w:rPr>
          <w:rFonts w:ascii="Arial" w:hAnsi="Arial" w:cs="Arial"/>
          <w:bCs/>
          <w:szCs w:val="22"/>
        </w:rPr>
      </w:pPr>
    </w:p>
    <w:p w14:paraId="6FD0596B" w14:textId="54D7DCDB" w:rsidR="00190338" w:rsidRDefault="00190338" w:rsidP="00972BB6">
      <w:pPr>
        <w:pStyle w:val="Prrafodelista"/>
        <w:numPr>
          <w:ilvl w:val="1"/>
          <w:numId w:val="39"/>
        </w:numPr>
        <w:rPr>
          <w:rFonts w:ascii="Arial" w:hAnsi="Arial" w:cs="Arial"/>
          <w:bCs/>
          <w:szCs w:val="22"/>
        </w:rPr>
      </w:pPr>
      <w:r w:rsidRPr="00190338">
        <w:rPr>
          <w:rFonts w:ascii="Arial" w:hAnsi="Arial" w:cs="Arial"/>
          <w:bCs/>
          <w:szCs w:val="22"/>
        </w:rPr>
        <w:t>Verificar que la Entidad Fiscalizada aprobó en su Presupuesto de Egresos el pago de Adeudos de Ejercicios Fiscales Anteriores (ADEFAS) y no realizó pagos superiores a los aprobados en el Presupuesto de Egresos</w:t>
      </w:r>
      <w:r>
        <w:rPr>
          <w:rFonts w:ascii="Arial" w:hAnsi="Arial" w:cs="Arial"/>
          <w:bCs/>
          <w:szCs w:val="22"/>
        </w:rPr>
        <w:t>.</w:t>
      </w:r>
    </w:p>
    <w:p w14:paraId="63098E16" w14:textId="77777777" w:rsidR="00190338" w:rsidRPr="00190338" w:rsidRDefault="00190338" w:rsidP="00190338">
      <w:pPr>
        <w:pStyle w:val="Prrafodelista"/>
        <w:rPr>
          <w:rFonts w:ascii="Arial" w:hAnsi="Arial" w:cs="Arial"/>
          <w:bCs/>
          <w:szCs w:val="22"/>
        </w:rPr>
      </w:pPr>
    </w:p>
    <w:p w14:paraId="7FCD8D02" w14:textId="0785CC33" w:rsidR="00190338" w:rsidRDefault="00190338" w:rsidP="00972BB6">
      <w:pPr>
        <w:pStyle w:val="Prrafodelista"/>
        <w:numPr>
          <w:ilvl w:val="1"/>
          <w:numId w:val="39"/>
        </w:numPr>
        <w:rPr>
          <w:rFonts w:ascii="Arial" w:hAnsi="Arial" w:cs="Arial"/>
          <w:bCs/>
          <w:szCs w:val="22"/>
        </w:rPr>
      </w:pPr>
      <w:r w:rsidRPr="00190338">
        <w:rPr>
          <w:rFonts w:ascii="Arial" w:hAnsi="Arial" w:cs="Arial"/>
          <w:bCs/>
          <w:szCs w:val="22"/>
        </w:rPr>
        <w:t>Identificar los saldos y movimientos, que integran el Estado de Situación Financiera, en las cuentas de Deudores Diversos por Cobrar a Corto Plazo, Deudores por Anticipos de la Tesorería a Corto Plazo, Préstamos Otorgados a Corto Plazo y Otros Derechos a Recibir Efectivo o Equivalentes a Corto Plazo, con la finalidad de verificar la recuperación de los mismos y que se hayan ejercido los recursos para costear las actividades, las obras y los servicios públicos previstos por la entidad fiscalizada</w:t>
      </w:r>
    </w:p>
    <w:p w14:paraId="0E220914" w14:textId="77777777" w:rsidR="00352532" w:rsidRPr="00352532" w:rsidRDefault="00352532" w:rsidP="00352532">
      <w:pPr>
        <w:pStyle w:val="Prrafodelista"/>
        <w:rPr>
          <w:rFonts w:ascii="Arial" w:hAnsi="Arial" w:cs="Arial"/>
          <w:bCs/>
          <w:szCs w:val="22"/>
        </w:rPr>
      </w:pPr>
    </w:p>
    <w:bookmarkEnd w:id="2"/>
    <w:bookmarkEnd w:id="3"/>
    <w:p w14:paraId="6E9A7612" w14:textId="77777777" w:rsidR="00F913BA" w:rsidRDefault="00F913BA" w:rsidP="00F913BA">
      <w:pPr>
        <w:pStyle w:val="Prrafodelista"/>
        <w:ind w:left="360"/>
        <w:rPr>
          <w:rFonts w:cs="Arial"/>
          <w:szCs w:val="22"/>
        </w:rPr>
      </w:pPr>
    </w:p>
    <w:p w14:paraId="69D989E0" w14:textId="36687DFD" w:rsidR="00C73699" w:rsidRDefault="00C73699" w:rsidP="00C73699">
      <w:pPr>
        <w:rPr>
          <w:rFonts w:cs="Arial"/>
          <w:b/>
          <w:bCs/>
          <w:szCs w:val="22"/>
        </w:rPr>
      </w:pPr>
      <w:r w:rsidRPr="00AE7D25">
        <w:rPr>
          <w:b/>
        </w:rPr>
        <w:lastRenderedPageBreak/>
        <w:t xml:space="preserve">SERVIDORES PÚBLICOS DE LA AUDITORÍA SUPERIOR A CARGO DE REALIZAR LA AUDITORÍA </w:t>
      </w:r>
      <w:r w:rsidR="008D4159">
        <w:rPr>
          <w:b/>
        </w:rPr>
        <w:t>FINANCIERA</w:t>
      </w:r>
    </w:p>
    <w:p w14:paraId="598B46B1" w14:textId="6E191AAF" w:rsidR="00C73699" w:rsidRPr="00AE7D25" w:rsidRDefault="00BC6716" w:rsidP="00C73699">
      <w:pPr>
        <w:rPr>
          <w:rFonts w:cs="Arial"/>
          <w:b/>
          <w:bCs/>
          <w:szCs w:val="22"/>
        </w:rPr>
      </w:pPr>
      <w:r>
        <w:rPr>
          <w:noProof/>
        </w:rPr>
        <mc:AlternateContent>
          <mc:Choice Requires="wps">
            <w:drawing>
              <wp:anchor distT="0" distB="0" distL="114300" distR="114300" simplePos="0" relativeHeight="251659264" behindDoc="0" locked="0" layoutInCell="1" allowOverlap="1" wp14:anchorId="54219AB1" wp14:editId="28386087">
                <wp:simplePos x="0" y="0"/>
                <wp:positionH relativeFrom="column">
                  <wp:posOffset>0</wp:posOffset>
                </wp:positionH>
                <wp:positionV relativeFrom="paragraph">
                  <wp:posOffset>-635</wp:posOffset>
                </wp:positionV>
                <wp:extent cx="5575300" cy="971550"/>
                <wp:effectExtent l="0" t="0" r="25400" b="19050"/>
                <wp:wrapNone/>
                <wp:docPr id="2" name="Rectángulo 2"/>
                <wp:cNvGraphicFramePr/>
                <a:graphic xmlns:a="http://schemas.openxmlformats.org/drawingml/2006/main">
                  <a:graphicData uri="http://schemas.microsoft.com/office/word/2010/wordprocessingShape">
                    <wps:wsp>
                      <wps:cNvSpPr/>
                      <wps:spPr>
                        <a:xfrm>
                          <a:off x="0" y="0"/>
                          <a:ext cx="5575300" cy="971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20A1F1" id="Rectángulo 2" o:spid="_x0000_s1026" style="position:absolute;margin-left:0;margin-top:-.05pt;width:439pt;height:7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" fillcolor="white [3212]" strokecolor="white [3212]" strokeweight="1pt"/>
            </w:pict>
          </mc:Fallback>
        </mc:AlternateContent>
      </w:r>
    </w:p>
    <w:tbl>
      <w:tblPr>
        <w:tblStyle w:val="Estilo11"/>
        <w:tblW w:w="0" w:type="auto"/>
        <w:tblInd w:w="241" w:type="dxa"/>
        <w:tblLayout w:type="fixed"/>
        <w:tblLook w:val="01E0" w:firstRow="1" w:lastRow="1" w:firstColumn="1" w:lastColumn="1" w:noHBand="0" w:noVBand="0"/>
      </w:tblPr>
      <w:tblGrid>
        <w:gridCol w:w="851"/>
        <w:gridCol w:w="4678"/>
        <w:gridCol w:w="2835"/>
      </w:tblGrid>
      <w:tr w:rsidR="00ED2AF6" w:rsidRPr="009C6E25" w14:paraId="4A8C0827" w14:textId="77777777" w:rsidTr="004767E8">
        <w:trPr>
          <w:cnfStyle w:val="100000000000" w:firstRow="1" w:lastRow="0" w:firstColumn="0" w:lastColumn="0" w:oddVBand="0" w:evenVBand="0" w:oddHBand="0" w:evenHBand="0" w:firstRowFirstColumn="0" w:firstRowLastColumn="0" w:lastRowFirstColumn="0" w:lastRowLastColumn="0"/>
          <w:trHeight w:hRule="exact" w:val="498"/>
        </w:trPr>
        <w:tc>
          <w:tcPr>
            <w:tcW w:w="851" w:type="dxa"/>
          </w:tcPr>
          <w:p w14:paraId="17F75765" w14:textId="77777777" w:rsidR="00ED2AF6" w:rsidRPr="009C6E25" w:rsidRDefault="00ED2AF6" w:rsidP="00DC1A9A">
            <w:pPr>
              <w:spacing w:before="3" w:line="120" w:lineRule="exact"/>
              <w:rPr>
                <w:sz w:val="16"/>
                <w:szCs w:val="16"/>
                <w:lang w:val="es-MX"/>
              </w:rPr>
            </w:pPr>
          </w:p>
          <w:p w14:paraId="06E08DA5" w14:textId="77777777" w:rsidR="00ED2AF6" w:rsidRPr="009C6E25" w:rsidRDefault="00ED2AF6" w:rsidP="00DC1A9A">
            <w:pPr>
              <w:ind w:left="115"/>
              <w:rPr>
                <w:rFonts w:eastAsia="Arial" w:cs="Arial"/>
                <w:sz w:val="16"/>
                <w:szCs w:val="16"/>
                <w:lang w:val="es-MX"/>
              </w:rPr>
            </w:pPr>
            <w:r w:rsidRPr="009C6E25">
              <w:rPr>
                <w:rFonts w:eastAsia="Arial" w:cs="Arial"/>
                <w:spacing w:val="-1"/>
                <w:sz w:val="16"/>
                <w:szCs w:val="16"/>
                <w:lang w:val="es-MX"/>
              </w:rPr>
              <w:t>N</w:t>
            </w:r>
            <w:r w:rsidRPr="009C6E25">
              <w:rPr>
                <w:rFonts w:eastAsia="Arial" w:cs="Arial"/>
                <w:sz w:val="16"/>
                <w:szCs w:val="16"/>
                <w:lang w:val="es-MX"/>
              </w:rPr>
              <w:t>o.</w:t>
            </w:r>
          </w:p>
        </w:tc>
        <w:tc>
          <w:tcPr>
            <w:tcW w:w="4678" w:type="dxa"/>
          </w:tcPr>
          <w:p w14:paraId="6FA69F26" w14:textId="77777777" w:rsidR="00ED2AF6" w:rsidRPr="009C6E25" w:rsidRDefault="00ED2AF6" w:rsidP="00DC1A9A">
            <w:pPr>
              <w:spacing w:before="3" w:line="120" w:lineRule="exact"/>
              <w:rPr>
                <w:sz w:val="16"/>
                <w:szCs w:val="16"/>
                <w:lang w:val="es-MX"/>
              </w:rPr>
            </w:pPr>
          </w:p>
          <w:p w14:paraId="66345516" w14:textId="77777777" w:rsidR="00ED2AF6" w:rsidRPr="009C6E25" w:rsidRDefault="00ED2AF6" w:rsidP="00DC1A9A">
            <w:pPr>
              <w:ind w:left="1849" w:right="1851"/>
              <w:jc w:val="center"/>
              <w:rPr>
                <w:rFonts w:eastAsia="Arial" w:cs="Arial"/>
                <w:sz w:val="16"/>
                <w:szCs w:val="16"/>
                <w:lang w:val="es-MX"/>
              </w:rPr>
            </w:pPr>
            <w:r w:rsidRPr="009C6E25">
              <w:rPr>
                <w:rFonts w:eastAsia="Arial" w:cs="Arial"/>
                <w:spacing w:val="-1"/>
                <w:sz w:val="16"/>
                <w:szCs w:val="16"/>
                <w:lang w:val="es-MX"/>
              </w:rPr>
              <w:t>N</w:t>
            </w:r>
            <w:r w:rsidRPr="009C6E25">
              <w:rPr>
                <w:rFonts w:eastAsia="Arial" w:cs="Arial"/>
                <w:sz w:val="16"/>
                <w:szCs w:val="16"/>
                <w:lang w:val="es-MX"/>
              </w:rPr>
              <w:t>OM</w:t>
            </w:r>
            <w:r w:rsidRPr="009C6E25">
              <w:rPr>
                <w:rFonts w:eastAsia="Arial" w:cs="Arial"/>
                <w:spacing w:val="-1"/>
                <w:sz w:val="16"/>
                <w:szCs w:val="16"/>
                <w:lang w:val="es-MX"/>
              </w:rPr>
              <w:t>BR</w:t>
            </w:r>
            <w:r w:rsidRPr="009C6E25">
              <w:rPr>
                <w:rFonts w:eastAsia="Arial" w:cs="Arial"/>
                <w:sz w:val="16"/>
                <w:szCs w:val="16"/>
                <w:lang w:val="es-MX"/>
              </w:rPr>
              <w:t>E</w:t>
            </w:r>
          </w:p>
        </w:tc>
        <w:tc>
          <w:tcPr>
            <w:tcW w:w="2835" w:type="dxa"/>
          </w:tcPr>
          <w:p w14:paraId="00B11692" w14:textId="77777777" w:rsidR="00ED2AF6" w:rsidRPr="009C6E25" w:rsidRDefault="00ED2AF6" w:rsidP="00DC1A9A">
            <w:pPr>
              <w:spacing w:before="3" w:line="120" w:lineRule="exact"/>
              <w:rPr>
                <w:sz w:val="16"/>
                <w:szCs w:val="16"/>
                <w:lang w:val="es-MX"/>
              </w:rPr>
            </w:pPr>
          </w:p>
          <w:p w14:paraId="24BB8FE5" w14:textId="77777777" w:rsidR="00ED2AF6" w:rsidRPr="009C6E25" w:rsidRDefault="00ED2AF6" w:rsidP="00DC1A9A">
            <w:pPr>
              <w:ind w:left="290"/>
              <w:rPr>
                <w:rFonts w:eastAsia="Arial" w:cs="Arial"/>
                <w:sz w:val="16"/>
                <w:szCs w:val="16"/>
                <w:lang w:val="es-MX"/>
              </w:rPr>
            </w:pPr>
            <w:r w:rsidRPr="009C6E25">
              <w:rPr>
                <w:rFonts w:eastAsia="Arial" w:cs="Arial"/>
                <w:spacing w:val="-1"/>
                <w:sz w:val="16"/>
                <w:szCs w:val="16"/>
                <w:lang w:val="es-MX"/>
              </w:rPr>
              <w:t>CAR</w:t>
            </w:r>
            <w:r w:rsidRPr="009C6E25">
              <w:rPr>
                <w:rFonts w:eastAsia="Arial" w:cs="Arial"/>
                <w:sz w:val="16"/>
                <w:szCs w:val="16"/>
                <w:lang w:val="es-MX"/>
              </w:rPr>
              <w:t>GO</w:t>
            </w:r>
          </w:p>
        </w:tc>
      </w:tr>
      <w:tr w:rsidR="00ED2AF6" w:rsidRPr="009C6E25" w14:paraId="557745A9" w14:textId="77777777" w:rsidTr="004767E8">
        <w:trPr>
          <w:cnfStyle w:val="000000100000" w:firstRow="0" w:lastRow="0" w:firstColumn="0" w:lastColumn="0" w:oddVBand="0" w:evenVBand="0" w:oddHBand="1" w:evenHBand="0" w:firstRowFirstColumn="0" w:firstRowLastColumn="0" w:lastRowFirstColumn="0" w:lastRowLastColumn="0"/>
          <w:trHeight w:hRule="exact" w:val="313"/>
        </w:trPr>
        <w:tc>
          <w:tcPr>
            <w:tcW w:w="851" w:type="dxa"/>
          </w:tcPr>
          <w:p w14:paraId="79219BD7" w14:textId="77777777" w:rsidR="00ED2AF6" w:rsidRPr="009C6E25" w:rsidRDefault="00ED2AF6" w:rsidP="00DC1A9A">
            <w:pPr>
              <w:spacing w:before="59"/>
              <w:ind w:left="190"/>
              <w:rPr>
                <w:rFonts w:eastAsia="Arial" w:cs="Arial"/>
                <w:sz w:val="16"/>
                <w:szCs w:val="16"/>
                <w:lang w:val="es-MX"/>
              </w:rPr>
            </w:pPr>
            <w:r w:rsidRPr="009C6E25">
              <w:rPr>
                <w:rFonts w:eastAsia="Arial" w:cs="Arial"/>
                <w:sz w:val="16"/>
                <w:szCs w:val="16"/>
                <w:lang w:val="es-MX"/>
              </w:rPr>
              <w:t>1</w:t>
            </w:r>
          </w:p>
        </w:tc>
        <w:tc>
          <w:tcPr>
            <w:tcW w:w="4678" w:type="dxa"/>
          </w:tcPr>
          <w:p w14:paraId="19647D32" w14:textId="4D764F1A" w:rsidR="00ED2AF6" w:rsidRPr="009C6E25" w:rsidRDefault="000E0472" w:rsidP="00DC1A9A">
            <w:pPr>
              <w:spacing w:before="20"/>
              <w:ind w:left="64"/>
              <w:rPr>
                <w:rFonts w:eastAsia="Arial" w:cs="Arial"/>
                <w:sz w:val="16"/>
                <w:szCs w:val="16"/>
                <w:lang w:val="es-MX"/>
              </w:rPr>
            </w:pPr>
            <w:r w:rsidRPr="009C6E25">
              <w:rPr>
                <w:rFonts w:eastAsiaTheme="minorHAnsi" w:cs="Arial"/>
                <w:sz w:val="16"/>
                <w:szCs w:val="16"/>
                <w:lang w:val="es-MX" w:eastAsia="en-US"/>
              </w:rPr>
              <w:t xml:space="preserve">C.P. </w:t>
            </w:r>
            <w:r w:rsidR="00000F28" w:rsidRPr="009C6E25">
              <w:rPr>
                <w:rFonts w:eastAsiaTheme="minorHAnsi" w:cs="Arial"/>
                <w:sz w:val="16"/>
                <w:szCs w:val="16"/>
                <w:lang w:val="es-MX" w:eastAsia="en-US"/>
              </w:rPr>
              <w:t>Miguel Ángel Santoyo Rodríguez</w:t>
            </w:r>
          </w:p>
        </w:tc>
        <w:tc>
          <w:tcPr>
            <w:tcW w:w="2835" w:type="dxa"/>
          </w:tcPr>
          <w:p w14:paraId="3F23A4D5" w14:textId="77777777" w:rsidR="00ED2AF6" w:rsidRPr="009C6E25" w:rsidRDefault="00ED2AF6" w:rsidP="00DC1A9A">
            <w:pPr>
              <w:spacing w:before="20"/>
              <w:ind w:left="178"/>
              <w:rPr>
                <w:rFonts w:eastAsia="Arial" w:cs="Arial"/>
                <w:sz w:val="16"/>
                <w:szCs w:val="16"/>
                <w:lang w:val="es-MX"/>
              </w:rPr>
            </w:pPr>
            <w:r w:rsidRPr="009C6E25">
              <w:rPr>
                <w:rFonts w:eastAsia="Arial" w:cs="Arial"/>
                <w:spacing w:val="-1"/>
                <w:sz w:val="16"/>
                <w:szCs w:val="16"/>
                <w:lang w:val="es-MX"/>
              </w:rPr>
              <w:t>Auditor</w:t>
            </w:r>
          </w:p>
        </w:tc>
      </w:tr>
    </w:tbl>
    <w:p w14:paraId="4F23D8DB" w14:textId="77777777" w:rsidR="00C73699" w:rsidRPr="000A3701" w:rsidRDefault="00C73699" w:rsidP="00C73699">
      <w:pPr>
        <w:rPr>
          <w:rFonts w:cs="Arial"/>
          <w:b/>
          <w:szCs w:val="22"/>
        </w:rPr>
      </w:pPr>
    </w:p>
    <w:p w14:paraId="758C2857" w14:textId="77777777" w:rsidR="00C73699" w:rsidRDefault="00C73699" w:rsidP="00C73699">
      <w:pPr>
        <w:rPr>
          <w:b/>
        </w:rPr>
      </w:pPr>
    </w:p>
    <w:p w14:paraId="1CF48FCA" w14:textId="77777777" w:rsidR="00C73699" w:rsidRPr="00633E6B" w:rsidRDefault="00C73699" w:rsidP="00C73699">
      <w:pPr>
        <w:rPr>
          <w:b/>
          <w:bCs/>
          <w:szCs w:val="22"/>
        </w:rPr>
      </w:pPr>
      <w:r w:rsidRPr="00633E6B">
        <w:rPr>
          <w:b/>
        </w:rPr>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6D3CE75C" w14:textId="77777777" w:rsidR="00C73699" w:rsidRDefault="00C73699" w:rsidP="00C73699">
      <w:pPr>
        <w:rPr>
          <w:bCs/>
          <w:szCs w:val="22"/>
        </w:rPr>
      </w:pPr>
    </w:p>
    <w:p w14:paraId="5484B05A" w14:textId="77777777" w:rsidR="00C73699" w:rsidRDefault="00C73699" w:rsidP="00C73699">
      <w:pPr>
        <w:rPr>
          <w:bCs/>
          <w:szCs w:val="22"/>
        </w:rPr>
      </w:pPr>
      <w:bookmarkStart w:id="7" w:name="_Hlk123160342"/>
      <w:r w:rsidRPr="00324949">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r>
        <w:rPr>
          <w:rFonts w:cs="Arial"/>
          <w:szCs w:val="22"/>
        </w:rPr>
        <w:t>.</w:t>
      </w:r>
    </w:p>
    <w:p w14:paraId="016E5753" w14:textId="77777777" w:rsidR="00C73699" w:rsidRPr="002118A7" w:rsidRDefault="00C73699" w:rsidP="00C73699">
      <w:pPr>
        <w:rPr>
          <w:rFonts w:cs="Arial"/>
          <w:bCs/>
          <w:szCs w:val="22"/>
        </w:rPr>
      </w:pPr>
    </w:p>
    <w:bookmarkEnd w:id="7"/>
    <w:p w14:paraId="0118AA7A" w14:textId="77777777" w:rsidR="00C73699" w:rsidRPr="002725BD" w:rsidRDefault="00C73699" w:rsidP="00C73699">
      <w:pPr>
        <w:pStyle w:val="Ttulo1"/>
        <w:shd w:val="clear" w:color="auto" w:fill="auto"/>
        <w:jc w:val="both"/>
        <w:rPr>
          <w:rFonts w:cs="Arial"/>
          <w:color w:val="auto"/>
          <w:szCs w:val="22"/>
        </w:rPr>
      </w:pPr>
      <w:r w:rsidRPr="002725BD">
        <w:rPr>
          <w:color w:val="auto"/>
        </w:rPr>
        <w:t>RESULTADOS DE LA FISCALIZACIÓN EFECTUADA, OBSERVACIONES, RECOMENDACIONES Y ACCIONES</w:t>
      </w:r>
    </w:p>
    <w:p w14:paraId="2A50BAF4" w14:textId="77777777" w:rsidR="00C73699" w:rsidRPr="002725BD" w:rsidRDefault="00C73699" w:rsidP="00C73699">
      <w:pPr>
        <w:rPr>
          <w:rFonts w:cs="Arial"/>
          <w:color w:val="00000A"/>
          <w:szCs w:val="22"/>
        </w:rPr>
      </w:pPr>
    </w:p>
    <w:p w14:paraId="7620DD31" w14:textId="39AC0E58" w:rsidR="00C73699" w:rsidRPr="0032541D" w:rsidRDefault="00C73699" w:rsidP="00C73699">
      <w:pPr>
        <w:rPr>
          <w:rFonts w:cs="Arial"/>
          <w:szCs w:val="22"/>
        </w:rPr>
      </w:pPr>
      <w:bookmarkStart w:id="8" w:name="_Hlk123160430"/>
      <w:r w:rsidRPr="002725BD">
        <w:rPr>
          <w:rFonts w:cs="Arial"/>
          <w:color w:val="00000A"/>
          <w:szCs w:val="22"/>
        </w:rPr>
        <w:t xml:space="preserve">En términos de los artículos 52 y </w:t>
      </w:r>
      <w:r w:rsidRPr="002725BD">
        <w:t xml:space="preserve">65 fracciones IV y V, de </w:t>
      </w:r>
      <w:r w:rsidRPr="002725BD">
        <w:rPr>
          <w:rFonts w:cs="Arial"/>
          <w:color w:val="00000A"/>
          <w:szCs w:val="22"/>
        </w:rPr>
        <w:t>la Ley de Fiscalización</w:t>
      </w:r>
      <w:r w:rsidR="008912A4">
        <w:rPr>
          <w:rFonts w:cs="Arial"/>
          <w:color w:val="00000A"/>
          <w:szCs w:val="22"/>
        </w:rPr>
        <w:t xml:space="preserve"> Superior</w:t>
      </w:r>
      <w:r w:rsidRPr="002725BD">
        <w:rPr>
          <w:rFonts w:cs="Arial"/>
          <w:color w:val="00000A"/>
          <w:szCs w:val="22"/>
        </w:rPr>
        <w:t xml:space="preserve"> y Rendición de Cuentas del Estado de Michoacán de Ocampo,</w:t>
      </w:r>
      <w:r w:rsidRPr="002725BD">
        <w:rPr>
          <w:rFonts w:cs="Arial"/>
          <w:szCs w:val="22"/>
          <w:lang w:val="es-ES_tradnl"/>
        </w:rPr>
        <w:t xml:space="preserve"> se dieron a conocer </w:t>
      </w:r>
      <w:r w:rsidRPr="002725BD">
        <w:rPr>
          <w:rFonts w:cs="Arial"/>
          <w:color w:val="00000A"/>
          <w:szCs w:val="22"/>
        </w:rPr>
        <w:t xml:space="preserve">los </w:t>
      </w:r>
      <w:r w:rsidRPr="002725BD">
        <w:rPr>
          <w:rFonts w:cs="Arial"/>
          <w:szCs w:val="22"/>
          <w:lang w:val="es-ES_tradnl"/>
        </w:rPr>
        <w:t xml:space="preserve">Resultados y Observaciones Preliminares a la </w:t>
      </w:r>
      <w:r w:rsidRPr="00F62CC8">
        <w:rPr>
          <w:rFonts w:cs="Arial"/>
          <w:szCs w:val="22"/>
          <w:lang w:val="es-ES_tradnl"/>
        </w:rPr>
        <w:t>Entidad Fiscalizada</w:t>
      </w:r>
      <w:r w:rsidR="00A95155">
        <w:rPr>
          <w:rFonts w:cs="Arial"/>
          <w:szCs w:val="22"/>
          <w:lang w:val="es-ES_tradnl"/>
        </w:rPr>
        <w:t xml:space="preserve"> </w:t>
      </w:r>
      <w:r w:rsidR="00A95155" w:rsidRPr="00E223E0">
        <w:rPr>
          <w:rFonts w:cs="Arial"/>
          <w:szCs w:val="22"/>
        </w:rPr>
        <w:t>y ex servidores públicos en funciones por el periodo sujeto a revisión</w:t>
      </w:r>
      <w:r w:rsidRPr="00F62CC8">
        <w:rPr>
          <w:rFonts w:cs="Arial"/>
          <w:szCs w:val="22"/>
          <w:lang w:val="es-ES_tradnl"/>
        </w:rPr>
        <w:t xml:space="preserve">, mediante Acuerdo Administrativo de fecha </w:t>
      </w:r>
      <w:r w:rsidR="002D0D34">
        <w:rPr>
          <w:rFonts w:cs="Arial"/>
          <w:szCs w:val="22"/>
          <w:lang w:val="es-ES_tradnl"/>
        </w:rPr>
        <w:t>7</w:t>
      </w:r>
      <w:r w:rsidRPr="00F62CC8">
        <w:rPr>
          <w:rFonts w:cs="Arial"/>
          <w:szCs w:val="22"/>
          <w:lang w:val="es-ES_tradnl"/>
        </w:rPr>
        <w:t xml:space="preserve"> de </w:t>
      </w:r>
      <w:r w:rsidR="002D0D34">
        <w:rPr>
          <w:rFonts w:cs="Arial"/>
          <w:szCs w:val="22"/>
          <w:lang w:val="es-ES_tradnl"/>
        </w:rPr>
        <w:t>noviembre</w:t>
      </w:r>
      <w:r w:rsidRPr="00F62CC8">
        <w:rPr>
          <w:rFonts w:cs="Arial"/>
          <w:szCs w:val="22"/>
          <w:lang w:val="es-ES_tradnl"/>
        </w:rPr>
        <w:t xml:space="preserve"> del año 2022,</w:t>
      </w:r>
      <w:r w:rsidRPr="00F62CC8">
        <w:rPr>
          <w:rFonts w:cs="Arial"/>
          <w:szCs w:val="22"/>
        </w:rPr>
        <w:t xml:space="preserve"> </w:t>
      </w:r>
      <w:r w:rsidR="00F62CC8" w:rsidRPr="00F62CC8">
        <w:rPr>
          <w:rFonts w:cs="Arial"/>
          <w:szCs w:val="22"/>
          <w:lang w:val="es-ES_tradnl"/>
        </w:rPr>
        <w:t>formalizados en Acta Circunstanciada, en la que se hizo constar la entrega de</w:t>
      </w:r>
      <w:r w:rsidR="0063418E">
        <w:rPr>
          <w:rFonts w:cs="Arial"/>
          <w:szCs w:val="22"/>
          <w:lang w:val="es-ES_tradnl"/>
        </w:rPr>
        <w:t>l</w:t>
      </w:r>
      <w:r w:rsidR="00F62CC8" w:rsidRPr="00F62CC8">
        <w:rPr>
          <w:rFonts w:cs="Arial"/>
          <w:szCs w:val="22"/>
          <w:lang w:val="es-ES_tradnl"/>
        </w:rPr>
        <w:t xml:space="preserve"> </w:t>
      </w:r>
      <w:r w:rsidR="0063418E" w:rsidRPr="00E223E0">
        <w:rPr>
          <w:rFonts w:cs="Arial"/>
          <w:szCs w:val="22"/>
        </w:rPr>
        <w:t xml:space="preserve">Oficio número </w:t>
      </w:r>
      <w:bookmarkStart w:id="9" w:name="_Hlk124854194"/>
      <w:r w:rsidR="005A7BC7" w:rsidRPr="00E223E0">
        <w:rPr>
          <w:rFonts w:cs="Arial"/>
          <w:szCs w:val="22"/>
        </w:rPr>
        <w:t>0165/2022 sin fecha</w:t>
      </w:r>
      <w:r w:rsidR="00EB51B3" w:rsidRPr="00E223E0">
        <w:rPr>
          <w:rFonts w:cs="Arial"/>
          <w:szCs w:val="22"/>
        </w:rPr>
        <w:t xml:space="preserve">, </w:t>
      </w:r>
      <w:r w:rsidR="00A95155">
        <w:rPr>
          <w:rFonts w:cs="Arial"/>
          <w:szCs w:val="22"/>
        </w:rPr>
        <w:t>e</w:t>
      </w:r>
      <w:r w:rsidR="00EB51B3" w:rsidRPr="00E223E0">
        <w:rPr>
          <w:rFonts w:cs="Arial"/>
          <w:szCs w:val="22"/>
        </w:rPr>
        <w:t xml:space="preserve">l cual </w:t>
      </w:r>
      <w:r w:rsidR="00A95155">
        <w:rPr>
          <w:rFonts w:cs="Arial"/>
          <w:szCs w:val="22"/>
        </w:rPr>
        <w:t>consta de dos fojas útiles</w:t>
      </w:r>
      <w:bookmarkEnd w:id="9"/>
      <w:r w:rsidR="00F62CC8" w:rsidRPr="00E223E0">
        <w:rPr>
          <w:szCs w:val="22"/>
        </w:rPr>
        <w:t xml:space="preserve">, </w:t>
      </w:r>
      <w:r w:rsidRPr="00E223E0">
        <w:rPr>
          <w:rFonts w:cs="Arial"/>
          <w:szCs w:val="22"/>
        </w:rPr>
        <w:t xml:space="preserve">en </w:t>
      </w:r>
      <w:r w:rsidR="00F62CC8" w:rsidRPr="00E223E0">
        <w:rPr>
          <w:rFonts w:cs="Arial"/>
          <w:szCs w:val="22"/>
        </w:rPr>
        <w:t>el</w:t>
      </w:r>
      <w:r w:rsidRPr="00E223E0">
        <w:rPr>
          <w:rFonts w:cs="Arial"/>
          <w:szCs w:val="22"/>
        </w:rPr>
        <w:t xml:space="preserve"> que la Entidad Fiscalizada </w:t>
      </w:r>
      <w:bookmarkStart w:id="10" w:name="_Hlk124854232"/>
      <w:r w:rsidR="0032541D" w:rsidRPr="00E223E0">
        <w:rPr>
          <w:rFonts w:cs="Arial"/>
          <w:szCs w:val="22"/>
        </w:rPr>
        <w:t>y ex servidores públicos en funciones por el periodo sujeto a revisión</w:t>
      </w:r>
      <w:bookmarkEnd w:id="10"/>
      <w:r w:rsidR="0032541D" w:rsidRPr="00E223E0">
        <w:rPr>
          <w:rFonts w:cs="Arial"/>
          <w:szCs w:val="22"/>
        </w:rPr>
        <w:t>, presentaron</w:t>
      </w:r>
      <w:r w:rsidRPr="00E223E0">
        <w:rPr>
          <w:rFonts w:cs="Arial"/>
          <w:szCs w:val="22"/>
        </w:rPr>
        <w:t xml:space="preserve"> las justificaciones</w:t>
      </w:r>
      <w:r w:rsidRPr="00F62CC8">
        <w:rPr>
          <w:rFonts w:cs="Arial"/>
          <w:szCs w:val="22"/>
        </w:rPr>
        <w:t xml:space="preserve"> y aclaraciones que estimó necesarias, por lo que</w:t>
      </w:r>
      <w:r w:rsidRPr="00F62CC8">
        <w:rPr>
          <w:rFonts w:cs="Arial"/>
          <w:color w:val="00000A"/>
          <w:szCs w:val="22"/>
        </w:rPr>
        <w:t xml:space="preserve"> l</w:t>
      </w:r>
      <w:r w:rsidRPr="00F62CC8">
        <w:rPr>
          <w:rFonts w:cs="Arial"/>
          <w:szCs w:val="22"/>
        </w:rPr>
        <w:t>os resultados, observaciones, acciones</w:t>
      </w:r>
      <w:r w:rsidRPr="002725BD">
        <w:rPr>
          <w:rFonts w:cs="Arial"/>
          <w:szCs w:val="22"/>
        </w:rPr>
        <w:t xml:space="preserve"> y recomendaciones contenidas en el presente Informe Individual de Auditoría, se dan a conocer conforme a lo establecido en el artículo 53 de la </w:t>
      </w:r>
      <w:r w:rsidRPr="002725BD">
        <w:rPr>
          <w:rFonts w:cs="Arial"/>
          <w:color w:val="000000"/>
          <w:szCs w:val="22"/>
          <w:lang w:eastAsia="en-US"/>
        </w:rPr>
        <w:t>Ley en cita.</w:t>
      </w:r>
    </w:p>
    <w:p w14:paraId="65D29B58" w14:textId="77777777" w:rsidR="00C73699" w:rsidRPr="00665331" w:rsidRDefault="00C73699" w:rsidP="00C73699">
      <w:pPr>
        <w:rPr>
          <w:rFonts w:cs="Arial"/>
          <w:color w:val="000000"/>
          <w:szCs w:val="22"/>
          <w:lang w:eastAsia="en-US"/>
        </w:rPr>
      </w:pPr>
    </w:p>
    <w:p w14:paraId="5B9E6ED6" w14:textId="77777777" w:rsidR="00C73699" w:rsidRDefault="00C73699" w:rsidP="00C73699">
      <w:pPr>
        <w:rPr>
          <w:rFonts w:cs="Arial"/>
          <w:szCs w:val="22"/>
        </w:rPr>
      </w:pPr>
      <w:r w:rsidRPr="00BE7B39">
        <w:rPr>
          <w:rFonts w:cs="Arial"/>
          <w:szCs w:val="22"/>
        </w:rPr>
        <w:t xml:space="preserve">La documentación presentada </w:t>
      </w:r>
      <w:r w:rsidRPr="001954FE">
        <w:rPr>
          <w:rFonts w:cs="Arial"/>
          <w:szCs w:val="22"/>
        </w:rPr>
        <w:t>fue valorada</w:t>
      </w:r>
      <w:r w:rsidRPr="00BE7B39">
        <w:rPr>
          <w:rFonts w:cs="Arial"/>
          <w:szCs w:val="22"/>
        </w:rPr>
        <w:t xml:space="preserve"> por el personal actuante para la elaboración del Informe, cuyos resultados se detallan a continuación:</w:t>
      </w:r>
    </w:p>
    <w:p w14:paraId="1F07B642" w14:textId="66D1FC0E" w:rsidR="00C73699" w:rsidRDefault="00C73699" w:rsidP="00C73699">
      <w:pPr>
        <w:rPr>
          <w:rFonts w:cs="Arial"/>
          <w:bCs/>
          <w:szCs w:val="22"/>
        </w:rPr>
      </w:pPr>
      <w:bookmarkStart w:id="11" w:name="_Hlk52970898"/>
      <w:r w:rsidRPr="00B7253C">
        <w:rPr>
          <w:rFonts w:cs="Arial"/>
          <w:b/>
          <w:szCs w:val="22"/>
        </w:rPr>
        <w:lastRenderedPageBreak/>
        <w:t xml:space="preserve">1. </w:t>
      </w:r>
      <w:r w:rsidRPr="005C3EED">
        <w:rPr>
          <w:rFonts w:cs="Arial"/>
          <w:bCs/>
          <w:szCs w:val="22"/>
        </w:rPr>
        <w:t xml:space="preserve">De la revisión y análisis a las cifras </w:t>
      </w:r>
      <w:r>
        <w:rPr>
          <w:rFonts w:cs="Arial"/>
          <w:bCs/>
          <w:szCs w:val="22"/>
        </w:rPr>
        <w:t xml:space="preserve">que muestran los </w:t>
      </w:r>
      <w:r w:rsidRPr="005C3EED">
        <w:rPr>
          <w:rFonts w:cs="Arial"/>
          <w:bCs/>
          <w:szCs w:val="22"/>
        </w:rPr>
        <w:t xml:space="preserve">Estados Financieros al 31 de diciembre </w:t>
      </w:r>
      <w:r>
        <w:rPr>
          <w:rFonts w:cs="Arial"/>
          <w:bCs/>
          <w:szCs w:val="22"/>
        </w:rPr>
        <w:t>de 2021, se conoció lo siguiente:</w:t>
      </w:r>
    </w:p>
    <w:p w14:paraId="6061A43B" w14:textId="7EE6B002" w:rsidR="00832C3C" w:rsidRDefault="00832C3C" w:rsidP="00C73699">
      <w:pPr>
        <w:rPr>
          <w:rFonts w:cs="Arial"/>
          <w:color w:val="00000A"/>
          <w:szCs w:val="22"/>
        </w:rPr>
      </w:pPr>
      <w:bookmarkStart w:id="12" w:name="_Hlk56506103"/>
      <w:bookmarkEnd w:id="11"/>
    </w:p>
    <w:p w14:paraId="5E1BBFAD" w14:textId="380551EE" w:rsidR="00D532E4" w:rsidRPr="005C3EED" w:rsidRDefault="00CF7D4F" w:rsidP="00D532E4">
      <w:pPr>
        <w:rPr>
          <w:rFonts w:cs="Arial"/>
          <w:color w:val="00000A"/>
          <w:szCs w:val="22"/>
        </w:rPr>
      </w:pPr>
      <w:r>
        <w:rPr>
          <w:rFonts w:cs="Arial"/>
          <w:b/>
          <w:szCs w:val="22"/>
        </w:rPr>
        <w:t>1</w:t>
      </w:r>
      <w:r w:rsidR="00D532E4">
        <w:rPr>
          <w:rFonts w:cs="Arial"/>
          <w:b/>
          <w:szCs w:val="22"/>
        </w:rPr>
        <w:t>.</w:t>
      </w:r>
      <w:r w:rsidR="00102F10">
        <w:rPr>
          <w:rFonts w:cs="Arial"/>
          <w:b/>
          <w:szCs w:val="22"/>
        </w:rPr>
        <w:t>1</w:t>
      </w:r>
      <w:r w:rsidR="00D532E4" w:rsidRPr="00AF3FCA">
        <w:rPr>
          <w:rFonts w:cs="Arial"/>
          <w:b/>
          <w:szCs w:val="22"/>
        </w:rPr>
        <w:t xml:space="preserve">. Observación Preliminar número </w:t>
      </w:r>
      <w:r w:rsidR="00D532E4">
        <w:rPr>
          <w:rFonts w:cs="Arial"/>
          <w:b/>
          <w:bCs/>
          <w:szCs w:val="22"/>
        </w:rPr>
        <w:t>0</w:t>
      </w:r>
      <w:r w:rsidR="00102F10">
        <w:rPr>
          <w:rFonts w:cs="Arial"/>
          <w:b/>
          <w:bCs/>
          <w:szCs w:val="22"/>
        </w:rPr>
        <w:t>1</w:t>
      </w:r>
    </w:p>
    <w:p w14:paraId="0E5BD399" w14:textId="77777777" w:rsidR="00832C3C" w:rsidRDefault="00832C3C" w:rsidP="00C73699">
      <w:pPr>
        <w:rPr>
          <w:rFonts w:cs="Arial"/>
          <w:color w:val="00000A"/>
          <w:szCs w:val="22"/>
        </w:rPr>
      </w:pPr>
    </w:p>
    <w:p w14:paraId="0D314415" w14:textId="174C6C1B" w:rsidR="00CC7828" w:rsidRDefault="00BE7770" w:rsidP="00D52081">
      <w:pPr>
        <w:spacing w:after="160"/>
        <w:rPr>
          <w:rFonts w:eastAsiaTheme="minorHAnsi" w:cs="Arial"/>
          <w:szCs w:val="22"/>
          <w:lang w:val="es-MX" w:eastAsia="en-US"/>
        </w:rPr>
      </w:pPr>
      <w:r w:rsidRPr="00BE7770">
        <w:rPr>
          <w:rFonts w:eastAsiaTheme="minorHAnsi" w:cs="Arial"/>
          <w:szCs w:val="22"/>
          <w:lang w:val="es-MX" w:eastAsia="en-US"/>
        </w:rPr>
        <w:t>De la revisión y análisis a</w:t>
      </w:r>
      <w:r w:rsidR="00E86244">
        <w:rPr>
          <w:rFonts w:eastAsiaTheme="minorHAnsi" w:cs="Arial"/>
          <w:szCs w:val="22"/>
          <w:lang w:val="es-MX" w:eastAsia="en-US"/>
        </w:rPr>
        <w:t xml:space="preserve">l </w:t>
      </w:r>
      <w:r w:rsidR="00E86244" w:rsidRPr="00BE7770">
        <w:rPr>
          <w:rFonts w:eastAsiaTheme="minorHAnsi" w:cs="Arial"/>
          <w:szCs w:val="22"/>
          <w:lang w:val="es-MX" w:eastAsia="en-US"/>
        </w:rPr>
        <w:t>Estado de Situación Financiera</w:t>
      </w:r>
      <w:r w:rsidR="00E86244">
        <w:rPr>
          <w:rFonts w:eastAsiaTheme="minorHAnsi" w:cs="Arial"/>
          <w:szCs w:val="22"/>
          <w:lang w:val="es-MX" w:eastAsia="en-US"/>
        </w:rPr>
        <w:t xml:space="preserve"> y al</w:t>
      </w:r>
      <w:r w:rsidRPr="00BE7770">
        <w:rPr>
          <w:rFonts w:eastAsiaTheme="minorHAnsi" w:cs="Arial"/>
          <w:szCs w:val="22"/>
          <w:lang w:val="es-MX" w:eastAsia="en-US"/>
        </w:rPr>
        <w:t xml:space="preserve"> Inventario de Bienes Muebles e Inmuebles</w:t>
      </w:r>
      <w:r w:rsidR="00342285">
        <w:rPr>
          <w:rFonts w:eastAsiaTheme="minorHAnsi" w:cs="Arial"/>
          <w:szCs w:val="22"/>
          <w:lang w:val="es-MX" w:eastAsia="en-US"/>
        </w:rPr>
        <w:t>,</w:t>
      </w:r>
      <w:r w:rsidRPr="00BE7770">
        <w:rPr>
          <w:rFonts w:eastAsiaTheme="minorHAnsi" w:cs="Arial"/>
          <w:szCs w:val="22"/>
          <w:lang w:val="es-MX" w:eastAsia="en-US"/>
        </w:rPr>
        <w:t xml:space="preserve"> al 31 de diciembre de 2021, se conoció que la Entidad Fiscalizada, no realizó la conciliación del Inventario de los Bienes Muebles e Inmuebles con los registros contables, determinándose una diferencia entre los montos reflejados en las cuentas contables donde se registran los Bienes Inmuebles, Infraestructura y Construcciones en Proceso y Bienes Muebles, por un importe de </w:t>
      </w:r>
      <w:r w:rsidR="00342285">
        <w:rPr>
          <w:rFonts w:eastAsiaTheme="minorHAnsi" w:cs="Arial"/>
          <w:szCs w:val="22"/>
          <w:lang w:val="es-MX" w:eastAsia="en-US"/>
        </w:rPr>
        <w:t>6</w:t>
      </w:r>
      <w:r>
        <w:rPr>
          <w:rFonts w:eastAsiaTheme="minorHAnsi" w:cs="Arial"/>
          <w:szCs w:val="22"/>
          <w:lang w:val="es-MX" w:eastAsia="en-US"/>
        </w:rPr>
        <w:t xml:space="preserve"> millones </w:t>
      </w:r>
      <w:r w:rsidR="00342285">
        <w:rPr>
          <w:rFonts w:eastAsiaTheme="minorHAnsi" w:cs="Arial"/>
          <w:szCs w:val="22"/>
          <w:lang w:val="es-MX" w:eastAsia="en-US"/>
        </w:rPr>
        <w:t>220</w:t>
      </w:r>
      <w:r>
        <w:rPr>
          <w:rFonts w:eastAsiaTheme="minorHAnsi" w:cs="Arial"/>
          <w:szCs w:val="22"/>
          <w:lang w:val="es-MX" w:eastAsia="en-US"/>
        </w:rPr>
        <w:t xml:space="preserve"> mil </w:t>
      </w:r>
      <w:r w:rsidR="007A5C80">
        <w:rPr>
          <w:rFonts w:eastAsiaTheme="minorHAnsi" w:cs="Arial"/>
          <w:szCs w:val="22"/>
          <w:lang w:val="es-MX" w:eastAsia="en-US"/>
        </w:rPr>
        <w:t>138</w:t>
      </w:r>
      <w:r w:rsidRPr="00BE7770">
        <w:rPr>
          <w:rFonts w:eastAsiaTheme="minorHAnsi" w:cs="Arial"/>
          <w:szCs w:val="22"/>
          <w:lang w:val="es-MX" w:eastAsia="en-US"/>
        </w:rPr>
        <w:t xml:space="preserve"> pesos</w:t>
      </w:r>
      <w:r w:rsidR="00A26F77" w:rsidRPr="00A26F77">
        <w:rPr>
          <w:rFonts w:eastAsiaTheme="minorHAnsi" w:cs="Arial"/>
          <w:szCs w:val="22"/>
          <w:lang w:val="es-MX" w:eastAsia="en-US"/>
        </w:rPr>
        <w:t>.</w:t>
      </w:r>
    </w:p>
    <w:p w14:paraId="06F862E6" w14:textId="77777777" w:rsidR="00EF14AF" w:rsidRDefault="00EF14AF" w:rsidP="00D52081">
      <w:pPr>
        <w:spacing w:after="160"/>
        <w:rPr>
          <w:rFonts w:eastAsiaTheme="minorHAnsi" w:cs="Arial"/>
          <w:szCs w:val="22"/>
          <w:lang w:val="es-MX" w:eastAsia="en-US"/>
        </w:rPr>
      </w:pPr>
    </w:p>
    <w:p w14:paraId="46C9ABED" w14:textId="7229754E" w:rsidR="00D52081" w:rsidRDefault="00A47B06" w:rsidP="00D52081">
      <w:pPr>
        <w:rPr>
          <w:rFonts w:cs="Arial"/>
          <w:b/>
          <w:szCs w:val="22"/>
        </w:rPr>
      </w:pPr>
      <w:r>
        <w:rPr>
          <w:rFonts w:cs="Arial"/>
          <w:b/>
          <w:szCs w:val="22"/>
        </w:rPr>
        <w:t>Disposiciones Jurídicas Incumplidas</w:t>
      </w:r>
      <w:r w:rsidR="00D52081" w:rsidRPr="005C3EED">
        <w:rPr>
          <w:rFonts w:cs="Arial"/>
          <w:b/>
          <w:szCs w:val="22"/>
        </w:rPr>
        <w:t>.</w:t>
      </w:r>
    </w:p>
    <w:p w14:paraId="11DC29FC" w14:textId="77777777" w:rsidR="00D532E4" w:rsidRDefault="00D532E4" w:rsidP="00C73699">
      <w:pPr>
        <w:rPr>
          <w:rFonts w:cs="Arial"/>
          <w:color w:val="00000A"/>
          <w:szCs w:val="22"/>
        </w:rPr>
      </w:pPr>
    </w:p>
    <w:p w14:paraId="2F918097" w14:textId="515167BA" w:rsidR="00A26F77" w:rsidRDefault="00EF14AF" w:rsidP="00C73699">
      <w:pPr>
        <w:rPr>
          <w:rFonts w:cs="Arial"/>
          <w:szCs w:val="22"/>
        </w:rPr>
      </w:pPr>
      <w:r w:rsidRPr="00EF14AF">
        <w:rPr>
          <w:rFonts w:cs="Arial"/>
          <w:szCs w:val="22"/>
        </w:rPr>
        <w:t xml:space="preserve">Artículos </w:t>
      </w:r>
      <w:r w:rsidR="00CC7184" w:rsidRPr="00CC7184">
        <w:rPr>
          <w:rFonts w:cs="Arial"/>
          <w:szCs w:val="22"/>
        </w:rPr>
        <w:t>23, 24, 27 y 30 de la Ley General de Contabilidad Gubernamental</w:t>
      </w:r>
      <w:r w:rsidR="00AB4C0D">
        <w:rPr>
          <w:rFonts w:cs="Arial"/>
          <w:szCs w:val="22"/>
        </w:rPr>
        <w:t xml:space="preserve"> y</w:t>
      </w:r>
      <w:r w:rsidR="00CC7184">
        <w:rPr>
          <w:rFonts w:cs="Arial"/>
          <w:szCs w:val="22"/>
        </w:rPr>
        <w:t xml:space="preserve"> </w:t>
      </w:r>
      <w:r w:rsidR="00CC7184" w:rsidRPr="00CC7184">
        <w:rPr>
          <w:rFonts w:cs="Arial"/>
          <w:szCs w:val="22"/>
        </w:rPr>
        <w:t>70</w:t>
      </w:r>
      <w:r w:rsidR="00B45F5B">
        <w:rPr>
          <w:rFonts w:cs="Arial"/>
          <w:szCs w:val="22"/>
        </w:rPr>
        <w:t>, 74 y 77</w:t>
      </w:r>
      <w:r w:rsidR="00CC7184" w:rsidRPr="00CC7184">
        <w:rPr>
          <w:rFonts w:cs="Arial"/>
          <w:szCs w:val="22"/>
        </w:rPr>
        <w:t xml:space="preserve"> de la Ley de Planeación Hacendaria, Presupuesto, Gasto Público y Contabilidad Gubernamental del Estado de Michoacán de Ocampo</w:t>
      </w:r>
      <w:r w:rsidR="00CC7184">
        <w:rPr>
          <w:rFonts w:cs="Arial"/>
          <w:szCs w:val="22"/>
        </w:rPr>
        <w:t xml:space="preserve"> y el </w:t>
      </w:r>
      <w:r w:rsidR="00CC7184" w:rsidRPr="00CC7184">
        <w:rPr>
          <w:rFonts w:cs="Arial"/>
          <w:szCs w:val="22"/>
        </w:rPr>
        <w:t>Acuerdo por el que se Reforman las Reglas Específicas del Registro y Valoración del Patrimonio, emitido por el Consejo Nacional de Armonización Contable (CONAC)</w:t>
      </w:r>
      <w:r w:rsidRPr="00EF14AF">
        <w:rPr>
          <w:rFonts w:cs="Arial"/>
          <w:szCs w:val="22"/>
        </w:rPr>
        <w:t>.</w:t>
      </w:r>
    </w:p>
    <w:p w14:paraId="60C361F3" w14:textId="77777777" w:rsidR="00EF14AF" w:rsidRDefault="00EF14AF" w:rsidP="00C73699">
      <w:pPr>
        <w:rPr>
          <w:rFonts w:cs="Arial"/>
          <w:szCs w:val="22"/>
        </w:rPr>
      </w:pPr>
    </w:p>
    <w:p w14:paraId="3F659656" w14:textId="7C74CC67" w:rsidR="00E01850" w:rsidRPr="004A0499" w:rsidRDefault="00E01850" w:rsidP="00E01850">
      <w:pPr>
        <w:rPr>
          <w:rFonts w:eastAsia="Arial Unicode MS" w:cs="Arial"/>
          <w:lang w:eastAsia="es-MX"/>
        </w:rPr>
      </w:pPr>
      <w:r w:rsidRPr="00BE4342">
        <w:rPr>
          <w:rFonts w:cs="Arial"/>
          <w:szCs w:val="22"/>
        </w:rPr>
        <w:t xml:space="preserve">Mediante Oficio número </w:t>
      </w:r>
      <w:r w:rsidR="00AB4C0D" w:rsidRPr="00AB4C0D">
        <w:rPr>
          <w:rFonts w:cs="Arial"/>
          <w:szCs w:val="22"/>
        </w:rPr>
        <w:t>0165/2022 sin fecha</w:t>
      </w:r>
      <w:r w:rsidRPr="00BE4342">
        <w:rPr>
          <w:rFonts w:cs="Arial"/>
          <w:szCs w:val="22"/>
        </w:rPr>
        <w:t>, la Entidad Fiscalizada</w:t>
      </w:r>
      <w:r w:rsidR="00EF5E50">
        <w:rPr>
          <w:rFonts w:cs="Arial"/>
          <w:szCs w:val="22"/>
        </w:rPr>
        <w:t xml:space="preserve"> solo</w:t>
      </w:r>
      <w:r w:rsidRPr="00BE4342">
        <w:rPr>
          <w:rFonts w:cs="Arial"/>
          <w:szCs w:val="22"/>
        </w:rPr>
        <w:t xml:space="preserve"> </w:t>
      </w:r>
      <w:r>
        <w:rPr>
          <w:rFonts w:cs="Arial"/>
          <w:szCs w:val="22"/>
        </w:rPr>
        <w:t xml:space="preserve">manifestó que: </w:t>
      </w:r>
      <w:r w:rsidRPr="004A0499">
        <w:rPr>
          <w:rFonts w:cs="Arial"/>
          <w:i/>
          <w:iCs/>
          <w:szCs w:val="22"/>
        </w:rPr>
        <w:t>“…</w:t>
      </w:r>
      <w:r w:rsidR="00AB4C0D" w:rsidRPr="00AB4C0D">
        <w:rPr>
          <w:rFonts w:cs="Arial"/>
          <w:i/>
          <w:iCs/>
          <w:szCs w:val="22"/>
        </w:rPr>
        <w:t>sobre la presente observación se menciona que se está trabajando en la realización de la conciliación contable y fiscal de los bienes muebles e inmuebles. ya que se debe hacer la contratación de un perito valuador y recurrir hacer la actualización del inventario</w:t>
      </w:r>
      <w:r w:rsidRPr="004A0499">
        <w:rPr>
          <w:rFonts w:cs="Arial"/>
          <w:i/>
          <w:iCs/>
          <w:szCs w:val="22"/>
        </w:rPr>
        <w:t>.</w:t>
      </w:r>
      <w:r>
        <w:rPr>
          <w:rFonts w:cs="Arial"/>
          <w:i/>
          <w:iCs/>
          <w:szCs w:val="22"/>
        </w:rPr>
        <w:t>”.</w:t>
      </w:r>
    </w:p>
    <w:p w14:paraId="374547D2" w14:textId="77777777" w:rsidR="00E01850" w:rsidRDefault="00E01850" w:rsidP="00E01850">
      <w:pPr>
        <w:rPr>
          <w:rFonts w:cs="Arial"/>
          <w:color w:val="00000A"/>
          <w:szCs w:val="22"/>
        </w:rPr>
      </w:pPr>
    </w:p>
    <w:p w14:paraId="35239720" w14:textId="711EB2B0" w:rsidR="003A4201" w:rsidRDefault="003A4201" w:rsidP="003A4201">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w:t>
      </w:r>
      <w:r w:rsidR="002C324A">
        <w:rPr>
          <w:rFonts w:cs="Arial"/>
          <w:b/>
          <w:bCs/>
          <w:color w:val="000000"/>
          <w:szCs w:val="22"/>
        </w:rPr>
        <w:t>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0</w:t>
      </w:r>
      <w:r w:rsidR="00AB4C0D">
        <w:rPr>
          <w:rFonts w:cs="Arial"/>
          <w:b/>
          <w:bCs/>
          <w:color w:val="000000"/>
          <w:szCs w:val="22"/>
        </w:rPr>
        <w:t>1</w:t>
      </w:r>
      <w:r w:rsidRPr="005C3EED">
        <w:rPr>
          <w:rFonts w:cs="Arial"/>
          <w:b/>
          <w:bCs/>
          <w:color w:val="000000"/>
          <w:szCs w:val="22"/>
        </w:rPr>
        <w:t>.</w:t>
      </w:r>
    </w:p>
    <w:p w14:paraId="31698257" w14:textId="77777777" w:rsidR="003A4201" w:rsidRPr="005C3EED" w:rsidRDefault="003A4201" w:rsidP="003A4201">
      <w:pPr>
        <w:tabs>
          <w:tab w:val="left" w:pos="10022"/>
        </w:tabs>
        <w:rPr>
          <w:rFonts w:cs="Arial"/>
          <w:b/>
          <w:bCs/>
          <w:color w:val="000000"/>
          <w:szCs w:val="22"/>
        </w:rPr>
      </w:pPr>
    </w:p>
    <w:p w14:paraId="37BA03AC" w14:textId="7A840839" w:rsidR="003A4201" w:rsidRPr="005C3EED" w:rsidRDefault="003A4201" w:rsidP="003A4201">
      <w:pPr>
        <w:pStyle w:val="Prrafodelista"/>
        <w:ind w:left="0"/>
        <w:rPr>
          <w:rFonts w:ascii="Arial" w:hAnsi="Arial" w:cs="Arial"/>
          <w:bCs/>
          <w:szCs w:val="22"/>
          <w:lang w:val="es-ES"/>
        </w:rPr>
      </w:pPr>
      <w:r w:rsidRPr="005C3EED">
        <w:rPr>
          <w:rFonts w:ascii="Arial" w:hAnsi="Arial" w:cs="Arial"/>
          <w:bCs/>
          <w:szCs w:val="22"/>
          <w:lang w:val="es-ES"/>
        </w:rPr>
        <w:t xml:space="preserve">Derivado de lo anterior, conforme a las pruebas ofertadas se determinó elaborar el Informe de Presuntas Irregularidades número </w:t>
      </w:r>
      <w:r w:rsidR="00AB4C0D" w:rsidRPr="00AB4C0D">
        <w:rPr>
          <w:rFonts w:ascii="Arial" w:hAnsi="Arial" w:cs="Arial"/>
          <w:b/>
          <w:szCs w:val="22"/>
        </w:rPr>
        <w:t>ASM/AEFM/DGPF/CP2021/AF/M094/225/IPI-01</w:t>
      </w:r>
      <w:r w:rsidRPr="005C3EED">
        <w:rPr>
          <w:rFonts w:ascii="Arial" w:hAnsi="Arial" w:cs="Arial"/>
          <w:bCs/>
          <w:szCs w:val="22"/>
          <w:lang w:val="es-ES"/>
        </w:rPr>
        <w:t>, el cual será turnado a la Autoridad Investigadora de este Órgano Técnico, para su trámite correspondiente.</w:t>
      </w:r>
    </w:p>
    <w:bookmarkEnd w:id="8"/>
    <w:p w14:paraId="2E59107F" w14:textId="414D3941" w:rsidR="00972AC1" w:rsidRDefault="00972AC1" w:rsidP="00C73699">
      <w:pPr>
        <w:rPr>
          <w:rFonts w:cs="Arial"/>
          <w:color w:val="00000A"/>
          <w:szCs w:val="22"/>
        </w:rPr>
      </w:pPr>
    </w:p>
    <w:p w14:paraId="4A9A4A5B" w14:textId="6E2E9430" w:rsidR="002F0868" w:rsidRDefault="002F0868" w:rsidP="00C73699">
      <w:pPr>
        <w:rPr>
          <w:rFonts w:cs="Arial"/>
          <w:color w:val="00000A"/>
          <w:szCs w:val="22"/>
        </w:rPr>
      </w:pPr>
    </w:p>
    <w:p w14:paraId="0BF7D713" w14:textId="3E029B17" w:rsidR="002F0868" w:rsidRDefault="002F0868" w:rsidP="00C73699">
      <w:pPr>
        <w:rPr>
          <w:rFonts w:cs="Arial"/>
          <w:color w:val="00000A"/>
          <w:szCs w:val="22"/>
        </w:rPr>
      </w:pPr>
    </w:p>
    <w:p w14:paraId="05049B20" w14:textId="77777777" w:rsidR="002F0868" w:rsidRDefault="002F0868" w:rsidP="00C73699">
      <w:pPr>
        <w:rPr>
          <w:rFonts w:cs="Arial"/>
          <w:color w:val="00000A"/>
          <w:szCs w:val="22"/>
        </w:rPr>
      </w:pPr>
    </w:p>
    <w:p w14:paraId="4F06836F" w14:textId="137A5EAC" w:rsidR="00FC149A" w:rsidRPr="005C3EED" w:rsidRDefault="00FC149A" w:rsidP="00FC149A">
      <w:pPr>
        <w:rPr>
          <w:rFonts w:cs="Arial"/>
          <w:color w:val="00000A"/>
          <w:szCs w:val="22"/>
        </w:rPr>
      </w:pPr>
      <w:r>
        <w:rPr>
          <w:rFonts w:cs="Arial"/>
          <w:b/>
          <w:szCs w:val="22"/>
        </w:rPr>
        <w:lastRenderedPageBreak/>
        <w:t>1.</w:t>
      </w:r>
      <w:r w:rsidR="00F44EA5">
        <w:rPr>
          <w:rFonts w:cs="Arial"/>
          <w:b/>
          <w:szCs w:val="22"/>
        </w:rPr>
        <w:t>2</w:t>
      </w:r>
      <w:r w:rsidRPr="00AF3FCA">
        <w:rPr>
          <w:rFonts w:cs="Arial"/>
          <w:b/>
          <w:szCs w:val="22"/>
        </w:rPr>
        <w:t xml:space="preserve">. Observación Preliminar número </w:t>
      </w:r>
      <w:r>
        <w:rPr>
          <w:rFonts w:cs="Arial"/>
          <w:b/>
          <w:bCs/>
          <w:szCs w:val="22"/>
        </w:rPr>
        <w:t>0</w:t>
      </w:r>
      <w:r w:rsidR="00F44EA5">
        <w:rPr>
          <w:rFonts w:cs="Arial"/>
          <w:b/>
          <w:bCs/>
          <w:szCs w:val="22"/>
        </w:rPr>
        <w:t>2</w:t>
      </w:r>
    </w:p>
    <w:p w14:paraId="47ED0F31" w14:textId="77777777" w:rsidR="00FC149A" w:rsidRDefault="00FC149A" w:rsidP="00FC149A">
      <w:pPr>
        <w:rPr>
          <w:rFonts w:cs="Arial"/>
          <w:color w:val="00000A"/>
          <w:szCs w:val="22"/>
        </w:rPr>
      </w:pPr>
    </w:p>
    <w:p w14:paraId="6C6CAAC8" w14:textId="57B05986" w:rsidR="00FC149A" w:rsidRDefault="00FE17BF" w:rsidP="00022748">
      <w:pPr>
        <w:rPr>
          <w:rFonts w:eastAsiaTheme="minorHAnsi" w:cs="Arial"/>
          <w:szCs w:val="22"/>
          <w:lang w:val="es-MX" w:eastAsia="en-US"/>
        </w:rPr>
      </w:pPr>
      <w:r w:rsidRPr="00FE17BF">
        <w:rPr>
          <w:rFonts w:eastAsiaTheme="minorHAnsi" w:cs="Arial"/>
          <w:szCs w:val="22"/>
          <w:lang w:val="es-MX" w:eastAsia="en-US"/>
        </w:rPr>
        <w:t>De la revisión y análisis practicado a los registros contables, analíticos históricos y auxiliares contables emitidos por el Sistema de Contabilidad Gubernamental de la Entidad Fiscalizada; se identificó en la Balanza de Comprobación</w:t>
      </w:r>
      <w:r w:rsidR="00A74E72">
        <w:rPr>
          <w:rFonts w:eastAsiaTheme="minorHAnsi" w:cs="Arial"/>
          <w:szCs w:val="22"/>
          <w:lang w:val="es-MX" w:eastAsia="en-US"/>
        </w:rPr>
        <w:t xml:space="preserve"> y </w:t>
      </w:r>
      <w:r w:rsidR="00A74E72" w:rsidRPr="00FE17BF">
        <w:rPr>
          <w:rFonts w:eastAsiaTheme="minorHAnsi" w:cs="Arial"/>
          <w:szCs w:val="22"/>
          <w:lang w:val="es-MX" w:eastAsia="en-US"/>
        </w:rPr>
        <w:t>en el Estado de Situación Financiera</w:t>
      </w:r>
      <w:r w:rsidRPr="00FE17BF">
        <w:rPr>
          <w:rFonts w:eastAsiaTheme="minorHAnsi" w:cs="Arial"/>
          <w:szCs w:val="22"/>
          <w:lang w:val="es-MX" w:eastAsia="en-US"/>
        </w:rPr>
        <w:t xml:space="preserve"> del 1 de enero al 31 de diciembre de 2021,</w:t>
      </w:r>
      <w:r w:rsidR="00A74E72">
        <w:rPr>
          <w:rFonts w:eastAsiaTheme="minorHAnsi" w:cs="Arial"/>
          <w:szCs w:val="22"/>
          <w:lang w:val="es-MX" w:eastAsia="en-US"/>
        </w:rPr>
        <w:t xml:space="preserve"> que</w:t>
      </w:r>
      <w:r w:rsidRPr="00FE17BF">
        <w:rPr>
          <w:rFonts w:eastAsiaTheme="minorHAnsi" w:cs="Arial"/>
          <w:szCs w:val="22"/>
          <w:lang w:val="es-MX" w:eastAsia="en-US"/>
        </w:rPr>
        <w:t xml:space="preserve"> no se encuentran los registros contables de las depreciaciones y amortizaciones de los Bienes Muebles e Inmuebles, incumpliendo con la normativa correspondiente</w:t>
      </w:r>
      <w:r w:rsidR="00FC149A" w:rsidRPr="00A26F77">
        <w:rPr>
          <w:rFonts w:eastAsiaTheme="minorHAnsi" w:cs="Arial"/>
          <w:szCs w:val="22"/>
          <w:lang w:val="es-MX" w:eastAsia="en-US"/>
        </w:rPr>
        <w:t>.</w:t>
      </w:r>
    </w:p>
    <w:p w14:paraId="1FE0AEA6" w14:textId="77777777" w:rsidR="00FC149A" w:rsidRDefault="00FC149A" w:rsidP="00022748">
      <w:pPr>
        <w:rPr>
          <w:rFonts w:eastAsiaTheme="minorHAnsi" w:cs="Arial"/>
          <w:szCs w:val="22"/>
          <w:lang w:val="es-MX" w:eastAsia="en-US"/>
        </w:rPr>
      </w:pPr>
    </w:p>
    <w:p w14:paraId="0998D0AD" w14:textId="241F045D" w:rsidR="00FC149A" w:rsidRDefault="00A47B06" w:rsidP="00FC149A">
      <w:pPr>
        <w:rPr>
          <w:rFonts w:cs="Arial"/>
          <w:b/>
          <w:szCs w:val="22"/>
        </w:rPr>
      </w:pPr>
      <w:r>
        <w:rPr>
          <w:rFonts w:cs="Arial"/>
          <w:b/>
          <w:szCs w:val="22"/>
        </w:rPr>
        <w:t>Disposiciones Jurídicas Incumplidas</w:t>
      </w:r>
      <w:r w:rsidR="00FC149A" w:rsidRPr="005C3EED">
        <w:rPr>
          <w:rFonts w:cs="Arial"/>
          <w:b/>
          <w:szCs w:val="22"/>
        </w:rPr>
        <w:t>.</w:t>
      </w:r>
    </w:p>
    <w:p w14:paraId="468A436E" w14:textId="77777777" w:rsidR="00FC149A" w:rsidRDefault="00FC149A" w:rsidP="00FC149A">
      <w:pPr>
        <w:rPr>
          <w:rFonts w:cs="Arial"/>
          <w:color w:val="00000A"/>
          <w:szCs w:val="22"/>
        </w:rPr>
      </w:pPr>
    </w:p>
    <w:p w14:paraId="4149B0D9" w14:textId="6A1F1B23" w:rsidR="00FC149A" w:rsidRDefault="00FC149A" w:rsidP="00FC149A">
      <w:pPr>
        <w:rPr>
          <w:rFonts w:cs="Arial"/>
          <w:szCs w:val="22"/>
        </w:rPr>
      </w:pPr>
      <w:r w:rsidRPr="00EF14AF">
        <w:rPr>
          <w:rFonts w:cs="Arial"/>
          <w:szCs w:val="22"/>
        </w:rPr>
        <w:t xml:space="preserve">Artículos </w:t>
      </w:r>
      <w:r w:rsidR="00471C6D" w:rsidRPr="00471C6D">
        <w:rPr>
          <w:rFonts w:cs="Arial"/>
          <w:szCs w:val="22"/>
        </w:rPr>
        <w:t>30 de la Ley General de Contabilidad Gubernamental</w:t>
      </w:r>
      <w:r>
        <w:rPr>
          <w:rFonts w:cs="Arial"/>
          <w:szCs w:val="22"/>
        </w:rPr>
        <w:t xml:space="preserve">; </w:t>
      </w:r>
      <w:r w:rsidR="00471C6D" w:rsidRPr="00CE48DF">
        <w:rPr>
          <w:szCs w:val="22"/>
        </w:rPr>
        <w:t xml:space="preserve">74 y 77 </w:t>
      </w:r>
      <w:r w:rsidRPr="00CC7184">
        <w:rPr>
          <w:rFonts w:cs="Arial"/>
          <w:szCs w:val="22"/>
        </w:rPr>
        <w:t>de la Ley de Planeación Hacendaria, Presupuesto, Gasto Público y Contabilidad Gubernamental del Estado de Michoacán de Ocampo</w:t>
      </w:r>
      <w:r w:rsidR="00471C6D">
        <w:rPr>
          <w:rFonts w:cs="Arial"/>
          <w:szCs w:val="22"/>
        </w:rPr>
        <w:t xml:space="preserve">; </w:t>
      </w:r>
      <w:r w:rsidR="00471C6D" w:rsidRPr="00471C6D">
        <w:rPr>
          <w:rFonts w:cs="Arial"/>
          <w:szCs w:val="22"/>
        </w:rPr>
        <w:t>Punto D.1.2 párrafo segundo del Acuerdo por el que se emiten Los Lineamientos Dirigidos a Asegurar que el Sistema de Contabilidad Gubernamental Facilite el Registro y Control de los Inventarios de los Bienes Muebles e Inmuebles de los Entes Públicos</w:t>
      </w:r>
      <w:r w:rsidR="00471C6D">
        <w:rPr>
          <w:rFonts w:cs="Arial"/>
          <w:szCs w:val="22"/>
        </w:rPr>
        <w:t xml:space="preserve">; </w:t>
      </w:r>
      <w:r w:rsidR="00471C6D" w:rsidRPr="00471C6D">
        <w:rPr>
          <w:rFonts w:cs="Arial"/>
          <w:szCs w:val="22"/>
        </w:rPr>
        <w:t>Acuerdo por el que se Reforman las Reglas Específicas del Registro y Valoración del Patrimonio, emitido por el Consejo Nacional de Armonización Contable, publicado en el Diario Oficial de la Federación el 13 de diciembre de 2011</w:t>
      </w:r>
      <w:r w:rsidR="00471C6D">
        <w:rPr>
          <w:rFonts w:cs="Arial"/>
          <w:szCs w:val="22"/>
        </w:rPr>
        <w:t xml:space="preserve"> y </w:t>
      </w:r>
      <w:r w:rsidR="00471C6D" w:rsidRPr="00471C6D">
        <w:rPr>
          <w:rFonts w:cs="Arial"/>
          <w:szCs w:val="22"/>
        </w:rPr>
        <w:t>Apartado B, Numeral 6, en correlación con el artículo 6 de la Ley General de contabilidad Gubernamental</w:t>
      </w:r>
      <w:r w:rsidRPr="00EF14AF">
        <w:rPr>
          <w:rFonts w:cs="Arial"/>
          <w:szCs w:val="22"/>
        </w:rPr>
        <w:t>.</w:t>
      </w:r>
    </w:p>
    <w:p w14:paraId="43123F29" w14:textId="77777777" w:rsidR="00FC149A" w:rsidRDefault="00FC149A" w:rsidP="00FC149A">
      <w:pPr>
        <w:rPr>
          <w:rFonts w:cs="Arial"/>
          <w:szCs w:val="22"/>
        </w:rPr>
      </w:pPr>
    </w:p>
    <w:p w14:paraId="09CF1D72" w14:textId="16234836" w:rsidR="007432BD" w:rsidRPr="004A0499" w:rsidRDefault="007432BD" w:rsidP="007432BD">
      <w:pPr>
        <w:rPr>
          <w:rFonts w:eastAsia="Arial Unicode MS" w:cs="Arial"/>
          <w:lang w:eastAsia="es-MX"/>
        </w:rPr>
      </w:pPr>
      <w:r w:rsidRPr="00BE4342">
        <w:rPr>
          <w:rFonts w:cs="Arial"/>
          <w:szCs w:val="22"/>
        </w:rPr>
        <w:t xml:space="preserve">Mediante Oficio número </w:t>
      </w:r>
      <w:r w:rsidRPr="00AB4C0D">
        <w:rPr>
          <w:rFonts w:cs="Arial"/>
          <w:szCs w:val="22"/>
        </w:rPr>
        <w:t>0165/2022 sin fecha</w:t>
      </w:r>
      <w:r w:rsidRPr="00BE4342">
        <w:rPr>
          <w:rFonts w:cs="Arial"/>
          <w:szCs w:val="22"/>
        </w:rPr>
        <w:t>, la Entidad Fiscalizada</w:t>
      </w:r>
      <w:r>
        <w:rPr>
          <w:rFonts w:cs="Arial"/>
          <w:szCs w:val="22"/>
        </w:rPr>
        <w:t xml:space="preserve"> solo</w:t>
      </w:r>
      <w:r w:rsidRPr="00BE4342">
        <w:rPr>
          <w:rFonts w:cs="Arial"/>
          <w:szCs w:val="22"/>
        </w:rPr>
        <w:t xml:space="preserve"> </w:t>
      </w:r>
      <w:r>
        <w:rPr>
          <w:rFonts w:cs="Arial"/>
          <w:szCs w:val="22"/>
        </w:rPr>
        <w:t xml:space="preserve">manifestó que: </w:t>
      </w:r>
      <w:r w:rsidRPr="004A0499">
        <w:rPr>
          <w:rFonts w:cs="Arial"/>
          <w:i/>
          <w:iCs/>
          <w:szCs w:val="22"/>
        </w:rPr>
        <w:t>“…</w:t>
      </w:r>
      <w:r w:rsidR="004B503E" w:rsidRPr="004B503E">
        <w:rPr>
          <w:rFonts w:cs="Arial"/>
          <w:i/>
          <w:iCs/>
          <w:szCs w:val="22"/>
        </w:rPr>
        <w:t>sobre la presente observación se menciona que se está trabajando en la realización de la conciliación contable y fiscal para de esa manera comenzar a implementar las depreciaciones y amortizaciones que se requieran para los bienes muebles e inmuebles y recurrir hacer la actualización del inventario</w:t>
      </w:r>
      <w:r w:rsidRPr="004A0499">
        <w:rPr>
          <w:rFonts w:cs="Arial"/>
          <w:i/>
          <w:iCs/>
          <w:szCs w:val="22"/>
        </w:rPr>
        <w:t>.</w:t>
      </w:r>
      <w:r>
        <w:rPr>
          <w:rFonts w:cs="Arial"/>
          <w:i/>
          <w:iCs/>
          <w:szCs w:val="22"/>
        </w:rPr>
        <w:t>”.</w:t>
      </w:r>
    </w:p>
    <w:p w14:paraId="69A96226" w14:textId="77777777" w:rsidR="007432BD" w:rsidRDefault="007432BD" w:rsidP="007432BD">
      <w:pPr>
        <w:rPr>
          <w:rFonts w:cs="Arial"/>
          <w:color w:val="00000A"/>
          <w:szCs w:val="22"/>
        </w:rPr>
      </w:pPr>
    </w:p>
    <w:p w14:paraId="22272D70" w14:textId="748BF6CC" w:rsidR="007432BD" w:rsidRDefault="007432BD" w:rsidP="007432BD">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w:t>
      </w:r>
      <w:r w:rsidR="00654A04">
        <w:rPr>
          <w:rFonts w:cs="Arial"/>
          <w:b/>
          <w:bCs/>
          <w:color w:val="000000"/>
          <w:szCs w:val="22"/>
        </w:rPr>
        <w:t>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02</w:t>
      </w:r>
      <w:r w:rsidRPr="005C3EED">
        <w:rPr>
          <w:rFonts w:cs="Arial"/>
          <w:b/>
          <w:bCs/>
          <w:color w:val="000000"/>
          <w:szCs w:val="22"/>
        </w:rPr>
        <w:t>.</w:t>
      </w:r>
    </w:p>
    <w:p w14:paraId="5406EF2A" w14:textId="77777777" w:rsidR="007432BD" w:rsidRPr="005C3EED" w:rsidRDefault="007432BD" w:rsidP="007432BD">
      <w:pPr>
        <w:tabs>
          <w:tab w:val="left" w:pos="10022"/>
        </w:tabs>
        <w:rPr>
          <w:rFonts w:cs="Arial"/>
          <w:b/>
          <w:bCs/>
          <w:color w:val="000000"/>
          <w:szCs w:val="22"/>
        </w:rPr>
      </w:pPr>
    </w:p>
    <w:p w14:paraId="2911F10E" w14:textId="5B62D592" w:rsidR="007432BD" w:rsidRPr="005C3EED" w:rsidRDefault="007432BD" w:rsidP="007432BD">
      <w:pPr>
        <w:pStyle w:val="Prrafodelista"/>
        <w:ind w:left="0"/>
        <w:rPr>
          <w:rFonts w:ascii="Arial" w:hAnsi="Arial" w:cs="Arial"/>
          <w:bCs/>
          <w:szCs w:val="22"/>
          <w:lang w:val="es-ES"/>
        </w:rPr>
      </w:pPr>
      <w:r w:rsidRPr="005C3EED">
        <w:rPr>
          <w:rFonts w:ascii="Arial" w:hAnsi="Arial" w:cs="Arial"/>
          <w:bCs/>
          <w:szCs w:val="22"/>
          <w:lang w:val="es-ES"/>
        </w:rPr>
        <w:t xml:space="preserve">Derivado de lo anterior, conforme a las pruebas ofertadas se determinó elaborar el Informe de Presuntas Irregularidades número </w:t>
      </w:r>
      <w:r w:rsidRPr="00AB4C0D">
        <w:rPr>
          <w:rFonts w:ascii="Arial" w:hAnsi="Arial" w:cs="Arial"/>
          <w:b/>
          <w:szCs w:val="22"/>
        </w:rPr>
        <w:t>ASM/AEFM/DGPF/CP2021/AF/M094/225/IPI-0</w:t>
      </w:r>
      <w:r>
        <w:rPr>
          <w:rFonts w:ascii="Arial" w:hAnsi="Arial" w:cs="Arial"/>
          <w:b/>
          <w:szCs w:val="22"/>
        </w:rPr>
        <w:t>2</w:t>
      </w:r>
      <w:r w:rsidRPr="005C3EED">
        <w:rPr>
          <w:rFonts w:ascii="Arial" w:hAnsi="Arial" w:cs="Arial"/>
          <w:bCs/>
          <w:szCs w:val="22"/>
          <w:lang w:val="es-ES"/>
        </w:rPr>
        <w:t>, el cual será turnado a la Autoridad Investigadora de este Órgano Técnico, para su trámite correspondiente.</w:t>
      </w:r>
    </w:p>
    <w:p w14:paraId="6BA09782" w14:textId="25A84624" w:rsidR="001313F7" w:rsidRDefault="001313F7" w:rsidP="00C73699">
      <w:pPr>
        <w:rPr>
          <w:rFonts w:cs="Arial"/>
          <w:color w:val="00000A"/>
          <w:szCs w:val="22"/>
        </w:rPr>
      </w:pPr>
    </w:p>
    <w:p w14:paraId="2F0B8C78" w14:textId="13B6FD40" w:rsidR="00F55AE6" w:rsidRPr="00F55AE6" w:rsidRDefault="00F55AE6" w:rsidP="00F55AE6">
      <w:pPr>
        <w:rPr>
          <w:rFonts w:cs="Arial"/>
          <w:bCs/>
          <w:color w:val="00000A"/>
          <w:szCs w:val="22"/>
        </w:rPr>
      </w:pPr>
      <w:r>
        <w:rPr>
          <w:rFonts w:cs="Arial"/>
          <w:b/>
          <w:szCs w:val="22"/>
        </w:rPr>
        <w:lastRenderedPageBreak/>
        <w:t>1.3</w:t>
      </w:r>
      <w:r w:rsidRPr="00AF3FCA">
        <w:rPr>
          <w:rFonts w:cs="Arial"/>
          <w:b/>
          <w:szCs w:val="22"/>
        </w:rPr>
        <w:t xml:space="preserve">. </w:t>
      </w:r>
      <w:r w:rsidR="00F90669" w:rsidRPr="00F90669">
        <w:rPr>
          <w:rFonts w:cs="Arial"/>
          <w:bCs/>
          <w:szCs w:val="22"/>
        </w:rPr>
        <w:t>Se verificó que la Entidad</w:t>
      </w:r>
      <w:r w:rsidR="00CD5A48">
        <w:rPr>
          <w:rFonts w:cs="Arial"/>
          <w:bCs/>
          <w:szCs w:val="22"/>
        </w:rPr>
        <w:t xml:space="preserve"> Fiscalizada,</w:t>
      </w:r>
      <w:r w:rsidR="00F90669" w:rsidRPr="00F90669">
        <w:rPr>
          <w:rFonts w:cs="Arial"/>
          <w:bCs/>
          <w:szCs w:val="22"/>
        </w:rPr>
        <w:t xml:space="preserve"> cumplió con el principio de sostenibilidad presupuestal, por lo que no se detectaron irregularidades que presuman la existencia de conductas, actos, hechos u omisiones; en consecuencia, no se generaron observaciones preliminares.</w:t>
      </w:r>
    </w:p>
    <w:p w14:paraId="16BB6B2E" w14:textId="4851B9BA" w:rsidR="00F55AE6" w:rsidRDefault="00F55AE6" w:rsidP="00C73699">
      <w:pPr>
        <w:rPr>
          <w:rFonts w:cs="Arial"/>
          <w:color w:val="00000A"/>
          <w:szCs w:val="22"/>
        </w:rPr>
      </w:pPr>
    </w:p>
    <w:p w14:paraId="024EFD66" w14:textId="39E1FBFD" w:rsidR="006B7950" w:rsidRDefault="006B7950" w:rsidP="00C73699">
      <w:pPr>
        <w:rPr>
          <w:rFonts w:cs="Arial"/>
          <w:color w:val="00000A"/>
          <w:szCs w:val="22"/>
        </w:rPr>
      </w:pPr>
      <w:r w:rsidRPr="006B7950">
        <w:rPr>
          <w:rFonts w:cs="Arial"/>
          <w:b/>
          <w:bCs/>
          <w:color w:val="00000A"/>
          <w:szCs w:val="22"/>
        </w:rPr>
        <w:t>1.4.</w:t>
      </w:r>
      <w:r>
        <w:rPr>
          <w:rFonts w:cs="Arial"/>
          <w:color w:val="00000A"/>
          <w:szCs w:val="22"/>
        </w:rPr>
        <w:t xml:space="preserve"> </w:t>
      </w:r>
      <w:r w:rsidR="00586E53">
        <w:rPr>
          <w:rFonts w:cs="Arial"/>
          <w:color w:val="00000A"/>
          <w:szCs w:val="22"/>
        </w:rPr>
        <w:t>De la verificación al</w:t>
      </w:r>
      <w:r w:rsidR="00745279">
        <w:rPr>
          <w:rFonts w:cs="Arial"/>
          <w:color w:val="00000A"/>
          <w:szCs w:val="22"/>
        </w:rPr>
        <w:t xml:space="preserve"> Presupuesto de Egresos para el Ejercicio Fiscal 2021</w:t>
      </w:r>
      <w:r w:rsidR="00586E53">
        <w:rPr>
          <w:rFonts w:cs="Arial"/>
          <w:color w:val="00000A"/>
          <w:szCs w:val="22"/>
        </w:rPr>
        <w:t xml:space="preserve">, de la Entidad Fiscalizada, se conoció que, no se asignaron recursos para cubrir el pago </w:t>
      </w:r>
      <w:r w:rsidR="00745279">
        <w:rPr>
          <w:rFonts w:cs="Arial"/>
          <w:color w:val="00000A"/>
          <w:szCs w:val="22"/>
        </w:rPr>
        <w:t xml:space="preserve">de Adeudos de Ejercicios Fiscales Anteriores (ADEFAS), por lo que no se detectaron irregularidades que presuman la existencia de conductas, actos, hechos u omisiones; en consecuencia, no se generaron observaciones preliminares. </w:t>
      </w:r>
    </w:p>
    <w:p w14:paraId="2EAC78CD" w14:textId="29A30BBE" w:rsidR="006B7950" w:rsidRDefault="006B7950" w:rsidP="00C73699">
      <w:pPr>
        <w:rPr>
          <w:rFonts w:cs="Arial"/>
          <w:color w:val="00000A"/>
          <w:szCs w:val="22"/>
        </w:rPr>
      </w:pPr>
    </w:p>
    <w:p w14:paraId="6575BD10" w14:textId="650D4193" w:rsidR="00633946" w:rsidRPr="00633946" w:rsidRDefault="006B7950" w:rsidP="00AB254E">
      <w:pPr>
        <w:rPr>
          <w:rFonts w:cs="Arial"/>
          <w:szCs w:val="22"/>
        </w:rPr>
      </w:pPr>
      <w:r w:rsidRPr="00116CF2">
        <w:rPr>
          <w:rFonts w:cs="Arial"/>
          <w:b/>
          <w:bCs/>
        </w:rPr>
        <w:t>1.5</w:t>
      </w:r>
      <w:r w:rsidR="00633946">
        <w:rPr>
          <w:rFonts w:cs="Arial"/>
          <w:b/>
          <w:bCs/>
        </w:rPr>
        <w:t xml:space="preserve">. </w:t>
      </w:r>
      <w:r w:rsidR="00AB254E" w:rsidRPr="00AB254E">
        <w:rPr>
          <w:rFonts w:cs="Arial"/>
          <w:szCs w:val="22"/>
        </w:rPr>
        <w:t xml:space="preserve">Se verificaron los saldos y movimientos que integran el que integran el Estado de Situación Financiera, en las cuentas de Deudores Diversos por Cobrar a Corto Plazo, Deudores por Anticipos de la Tesorería a Corto Plazo, Préstamos Otorgados a Corto Plazo y Otros Derechos a Recibir Efectivo o Equivalentes a Corto Plazo, </w:t>
      </w:r>
      <w:r w:rsidR="00026625">
        <w:rPr>
          <w:rFonts w:cs="Arial"/>
          <w:szCs w:val="22"/>
        </w:rPr>
        <w:t>identificándose que no se generaron saldos pendientes por recuperar</w:t>
      </w:r>
      <w:r w:rsidR="00AB254E" w:rsidRPr="00AB254E">
        <w:rPr>
          <w:rFonts w:cs="Arial"/>
          <w:szCs w:val="22"/>
        </w:rPr>
        <w:t>, por lo que no se detectaron irregularidades que presuman la existencia de conductas, actos, hechos u omisiones; en consecuencia, no se generaron observaciones preliminares</w:t>
      </w:r>
      <w:r w:rsidR="00633946">
        <w:rPr>
          <w:rFonts w:cs="Arial"/>
          <w:szCs w:val="22"/>
        </w:rPr>
        <w:t>.</w:t>
      </w:r>
    </w:p>
    <w:p w14:paraId="4C09E015" w14:textId="77777777" w:rsidR="00633946" w:rsidRDefault="00633946" w:rsidP="00C73699">
      <w:pPr>
        <w:rPr>
          <w:rFonts w:cs="Arial"/>
          <w:color w:val="00000A"/>
          <w:szCs w:val="22"/>
        </w:rPr>
      </w:pPr>
    </w:p>
    <w:p w14:paraId="5B1F2DED" w14:textId="77777777" w:rsidR="001313F7" w:rsidRDefault="001313F7" w:rsidP="00C73699">
      <w:pPr>
        <w:rPr>
          <w:rFonts w:cs="Arial"/>
          <w:color w:val="00000A"/>
          <w:szCs w:val="22"/>
        </w:rPr>
      </w:pPr>
    </w:p>
    <w:bookmarkEnd w:id="12"/>
    <w:p w14:paraId="7F695BBF" w14:textId="77777777" w:rsidR="00C73699" w:rsidRPr="00AE4937" w:rsidRDefault="00C73699" w:rsidP="00C73699">
      <w:pPr>
        <w:pStyle w:val="Ttulo1"/>
        <w:shd w:val="clear" w:color="auto" w:fill="auto"/>
        <w:jc w:val="both"/>
        <w:rPr>
          <w:rFonts w:eastAsiaTheme="minorHAnsi"/>
          <w:color w:val="auto"/>
        </w:rPr>
      </w:pPr>
      <w:r w:rsidRPr="00AE4937">
        <w:rPr>
          <w:rFonts w:eastAsiaTheme="minorHAnsi"/>
          <w:color w:val="auto"/>
        </w:rPr>
        <w:t>SÍNTESIS DE LAS JUSTIFICACIONES Y ACLARACIONES</w:t>
      </w:r>
    </w:p>
    <w:p w14:paraId="07F19A83" w14:textId="77777777" w:rsidR="00C73699" w:rsidRDefault="00C73699" w:rsidP="00C73699">
      <w:pPr>
        <w:spacing w:line="360" w:lineRule="auto"/>
        <w:rPr>
          <w:rFonts w:cs="Arial"/>
          <w:szCs w:val="22"/>
        </w:rPr>
      </w:pPr>
    </w:p>
    <w:p w14:paraId="5AC14B43" w14:textId="77EC3110" w:rsidR="00C73699" w:rsidRDefault="00C73699" w:rsidP="00C73699">
      <w:pPr>
        <w:rPr>
          <w:rFonts w:cs="Arial"/>
          <w:szCs w:val="22"/>
        </w:rPr>
      </w:pPr>
      <w:r w:rsidRPr="00584767">
        <w:rPr>
          <w:rFonts w:cs="Arial"/>
          <w:szCs w:val="22"/>
        </w:rPr>
        <w:t xml:space="preserve">La documentación proporcionada por la Entidad Fiscalizada para aclarar o justificar los resultados y las </w:t>
      </w:r>
      <w:r w:rsidRPr="008954A4">
        <w:rPr>
          <w:rFonts w:cs="Arial"/>
          <w:szCs w:val="22"/>
        </w:rPr>
        <w:t>ob</w:t>
      </w:r>
      <w:r w:rsidR="00182160">
        <w:rPr>
          <w:rFonts w:cs="Arial"/>
          <w:szCs w:val="22"/>
        </w:rPr>
        <w:t xml:space="preserve">servaciones, </w:t>
      </w:r>
      <w:r w:rsidR="002725BD">
        <w:rPr>
          <w:rFonts w:cs="Arial"/>
          <w:szCs w:val="22"/>
        </w:rPr>
        <w:t xml:space="preserve">mediante </w:t>
      </w:r>
      <w:r w:rsidR="00AD50C0" w:rsidRPr="00AB254E">
        <w:rPr>
          <w:rFonts w:cs="Arial"/>
          <w:szCs w:val="22"/>
        </w:rPr>
        <w:t>Oficio</w:t>
      </w:r>
      <w:r w:rsidR="00A3749B" w:rsidRPr="00AB254E">
        <w:rPr>
          <w:rFonts w:cs="Arial"/>
          <w:szCs w:val="22"/>
        </w:rPr>
        <w:t xml:space="preserve"> número</w:t>
      </w:r>
      <w:r w:rsidR="00AD50C0" w:rsidRPr="00AB254E">
        <w:rPr>
          <w:rFonts w:cs="Arial"/>
          <w:szCs w:val="22"/>
        </w:rPr>
        <w:t xml:space="preserve"> </w:t>
      </w:r>
      <w:r w:rsidR="00A3749B" w:rsidRPr="00AB254E">
        <w:rPr>
          <w:rFonts w:cs="Arial"/>
          <w:szCs w:val="22"/>
        </w:rPr>
        <w:t>0165/2022 sin fecha</w:t>
      </w:r>
      <w:r w:rsidR="00AD50C0" w:rsidRPr="00AB254E">
        <w:rPr>
          <w:rFonts w:cs="Arial"/>
          <w:szCs w:val="22"/>
        </w:rPr>
        <w:t xml:space="preserve">, </w:t>
      </w:r>
      <w:r w:rsidR="00E50399">
        <w:rPr>
          <w:rFonts w:cs="Arial"/>
          <w:szCs w:val="22"/>
        </w:rPr>
        <w:t>e</w:t>
      </w:r>
      <w:r w:rsidR="00AD50C0" w:rsidRPr="00AB254E">
        <w:rPr>
          <w:rFonts w:cs="Arial"/>
          <w:szCs w:val="22"/>
        </w:rPr>
        <w:t xml:space="preserve">l cual </w:t>
      </w:r>
      <w:r w:rsidR="00E50399">
        <w:rPr>
          <w:rFonts w:cs="Arial"/>
          <w:szCs w:val="22"/>
        </w:rPr>
        <w:t>consta de dos fojas útiles</w:t>
      </w:r>
      <w:r w:rsidR="00AD50C0" w:rsidRPr="00AB254E">
        <w:rPr>
          <w:szCs w:val="22"/>
        </w:rPr>
        <w:t>,</w:t>
      </w:r>
      <w:r w:rsidRPr="00AB254E">
        <w:rPr>
          <w:szCs w:val="22"/>
        </w:rPr>
        <w:t xml:space="preserve"> </w:t>
      </w:r>
      <w:r w:rsidRPr="00AB254E">
        <w:rPr>
          <w:rFonts w:cs="Arial"/>
          <w:szCs w:val="22"/>
        </w:rPr>
        <w:t>fue ana</w:t>
      </w:r>
      <w:r>
        <w:rPr>
          <w:rFonts w:cs="Arial"/>
          <w:szCs w:val="22"/>
        </w:rPr>
        <w:t>lizada</w:t>
      </w:r>
      <w:r w:rsidRPr="00B013D0">
        <w:rPr>
          <w:rFonts w:cs="Arial"/>
          <w:szCs w:val="22"/>
        </w:rPr>
        <w:t xml:space="preserve"> con el fin de determinar</w:t>
      </w:r>
      <w:r w:rsidRPr="00584767">
        <w:rPr>
          <w:rFonts w:cs="Arial"/>
          <w:szCs w:val="22"/>
        </w:rPr>
        <w:t xml:space="preserve"> la procedencia de eliminar, rectificar o ratificar los Resultados y las Observaciones Preliminares determinadas por la Auditoría Superior de Michoacán, las cuales se encuentran descritas en el apartado de Resultados de la Fiscalización Efectuada.</w:t>
      </w:r>
    </w:p>
    <w:p w14:paraId="4471219B" w14:textId="4AB283B5" w:rsidR="00C73699" w:rsidRDefault="00C73699" w:rsidP="00C73699">
      <w:pPr>
        <w:spacing w:line="360" w:lineRule="auto"/>
        <w:rPr>
          <w:rFonts w:cs="Arial"/>
          <w:szCs w:val="22"/>
        </w:rPr>
      </w:pPr>
    </w:p>
    <w:p w14:paraId="3D73A0A1" w14:textId="4CD1ECD6" w:rsidR="00EF14AF" w:rsidRDefault="00EF14AF" w:rsidP="00C73699">
      <w:pPr>
        <w:spacing w:line="360" w:lineRule="auto"/>
        <w:rPr>
          <w:rFonts w:cs="Arial"/>
          <w:szCs w:val="22"/>
        </w:rPr>
      </w:pPr>
    </w:p>
    <w:p w14:paraId="43231019" w14:textId="77777777" w:rsidR="00C73699" w:rsidRDefault="00C73699" w:rsidP="00C73699">
      <w:pPr>
        <w:rPr>
          <w:rFonts w:cs="Arial"/>
          <w:b/>
          <w:bCs/>
          <w:szCs w:val="22"/>
        </w:rPr>
      </w:pPr>
      <w:r w:rsidRPr="00476348">
        <w:rPr>
          <w:rFonts w:cs="Arial"/>
          <w:b/>
          <w:bCs/>
          <w:szCs w:val="22"/>
        </w:rPr>
        <w:t>DICT</w:t>
      </w:r>
      <w:r>
        <w:rPr>
          <w:rFonts w:cs="Arial"/>
          <w:b/>
          <w:bCs/>
          <w:szCs w:val="22"/>
        </w:rPr>
        <w:t>A</w:t>
      </w:r>
      <w:r w:rsidRPr="00476348">
        <w:rPr>
          <w:rFonts w:cs="Arial"/>
          <w:b/>
          <w:bCs/>
          <w:szCs w:val="22"/>
        </w:rPr>
        <w:t>MEN DE LA REVISIÓN</w:t>
      </w:r>
    </w:p>
    <w:p w14:paraId="332D724A" w14:textId="77777777" w:rsidR="00C73699" w:rsidRDefault="00C73699" w:rsidP="00C73699">
      <w:pPr>
        <w:rPr>
          <w:rFonts w:cs="Arial"/>
          <w:b/>
          <w:bCs/>
          <w:szCs w:val="22"/>
        </w:rPr>
      </w:pPr>
    </w:p>
    <w:p w14:paraId="7186473D" w14:textId="77777777" w:rsidR="00C73699" w:rsidRPr="00A9307E" w:rsidRDefault="00C73699" w:rsidP="00C73699">
      <w:pPr>
        <w:pStyle w:val="Sinespaciado"/>
        <w:spacing w:line="276" w:lineRule="auto"/>
        <w:jc w:val="both"/>
        <w:rPr>
          <w:rFonts w:ascii="Arial" w:hAnsi="Arial" w:cs="Arial"/>
        </w:rPr>
      </w:pPr>
      <w:r w:rsidRPr="004B65E2">
        <w:rPr>
          <w:rFonts w:ascii="Arial" w:hAnsi="Arial" w:cs="Arial"/>
        </w:rPr>
        <w:t>Hemos fiscalizado los Recursos Fiscales, Ingresos Propios y/o Ingresos de Gestión</w:t>
      </w:r>
      <w:r w:rsidRPr="004B65E2">
        <w:t>,</w:t>
      </w:r>
      <w:r w:rsidRPr="004B65E2">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4767DE81" w14:textId="77777777" w:rsidR="00C73699" w:rsidRPr="00A9307E" w:rsidRDefault="00C73699" w:rsidP="00C73699">
      <w:pPr>
        <w:pStyle w:val="Sinespaciado"/>
        <w:spacing w:line="276" w:lineRule="auto"/>
        <w:jc w:val="both"/>
        <w:rPr>
          <w:rFonts w:ascii="Arial" w:hAnsi="Arial" w:cs="Arial"/>
        </w:rPr>
      </w:pPr>
    </w:p>
    <w:p w14:paraId="76CFD1B4" w14:textId="77777777" w:rsidR="00C73699" w:rsidRDefault="00C73699" w:rsidP="00C73699">
      <w:pPr>
        <w:pStyle w:val="Sinespaciado"/>
        <w:spacing w:line="276" w:lineRule="auto"/>
        <w:jc w:val="both"/>
        <w:rPr>
          <w:rFonts w:ascii="Arial" w:hAnsi="Arial" w:cs="Arial"/>
        </w:rPr>
      </w:pPr>
      <w:r w:rsidRPr="00A9307E">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1DACD43D" w14:textId="77777777" w:rsidR="00C73699" w:rsidRPr="00A9307E" w:rsidRDefault="00C73699" w:rsidP="00C73699">
      <w:pPr>
        <w:pStyle w:val="Sinespaciado"/>
        <w:spacing w:line="276" w:lineRule="auto"/>
        <w:jc w:val="both"/>
        <w:rPr>
          <w:rFonts w:ascii="Arial" w:hAnsi="Arial" w:cs="Arial"/>
        </w:rPr>
      </w:pPr>
    </w:p>
    <w:p w14:paraId="0A56E6BB" w14:textId="527AE054" w:rsidR="00C73699" w:rsidRDefault="00C73699" w:rsidP="00C73699">
      <w:pPr>
        <w:pStyle w:val="Sinespaciado"/>
        <w:spacing w:line="276" w:lineRule="auto"/>
        <w:jc w:val="both"/>
        <w:rPr>
          <w:rFonts w:ascii="Arial" w:hAnsi="Arial" w:cs="Arial"/>
        </w:rPr>
      </w:pPr>
      <w:r w:rsidRPr="00AD0C2C">
        <w:rPr>
          <w:rFonts w:ascii="Arial" w:hAnsi="Arial" w:cs="Arial"/>
        </w:rPr>
        <w:t xml:space="preserve">En nuestra opinión, la información financiera sujeta a fiscalización, </w:t>
      </w:r>
      <w:r w:rsidR="004D7219" w:rsidRPr="004D7219">
        <w:rPr>
          <w:rFonts w:ascii="Arial" w:hAnsi="Arial" w:cs="Arial"/>
        </w:rPr>
        <w:t>respecto</w:t>
      </w:r>
      <w:r w:rsidR="004D7219">
        <w:rPr>
          <w:rFonts w:ascii="Arial" w:hAnsi="Arial" w:cs="Arial"/>
        </w:rPr>
        <w:t xml:space="preserve"> a los ingresos propios, en base a las pruebas realizadas</w:t>
      </w:r>
      <w:r w:rsidR="004D7219" w:rsidRPr="004D7219">
        <w:rPr>
          <w:rFonts w:ascii="Arial" w:hAnsi="Arial" w:cs="Arial"/>
        </w:rPr>
        <w:t xml:space="preserve"> de valuación a los Estados Financieros, estos </w:t>
      </w:r>
      <w:r w:rsidR="00DB31AC">
        <w:rPr>
          <w:rFonts w:ascii="Arial" w:hAnsi="Arial" w:cs="Arial"/>
        </w:rPr>
        <w:t xml:space="preserve">se </w:t>
      </w:r>
      <w:r w:rsidR="004D7219" w:rsidRPr="004D7219">
        <w:rPr>
          <w:rFonts w:ascii="Arial" w:hAnsi="Arial" w:cs="Arial"/>
        </w:rPr>
        <w:t>presentan razonablemente, en sus aspectos importantes</w:t>
      </w:r>
      <w:r w:rsidR="00DB31AC">
        <w:rPr>
          <w:rFonts w:ascii="Arial" w:hAnsi="Arial" w:cs="Arial"/>
        </w:rPr>
        <w:t xml:space="preserve">, </w:t>
      </w:r>
      <w:r w:rsidR="004D7219" w:rsidRPr="004D7219">
        <w:rPr>
          <w:rFonts w:ascii="Arial" w:hAnsi="Arial" w:cs="Arial"/>
        </w:rPr>
        <w:t xml:space="preserve">salvo los conceptos de </w:t>
      </w:r>
      <w:r w:rsidR="00E576B1">
        <w:rPr>
          <w:rFonts w:ascii="Arial" w:hAnsi="Arial" w:cs="Arial"/>
        </w:rPr>
        <w:t>realizar las conciliaciones del Inventario de los Bienes Muebles e Inmuebles con sus registros contables y en la falta de registro de las depreciaciones y amortizaciones de los Bienes en la Balanza de Comprobación y en el Estado de Situación Financiera</w:t>
      </w:r>
      <w:r w:rsidR="004D7219" w:rsidRPr="004D7219">
        <w:rPr>
          <w:rFonts w:ascii="Arial" w:hAnsi="Arial" w:cs="Arial"/>
        </w:rPr>
        <w:t xml:space="preserve">, </w:t>
      </w:r>
      <w:r w:rsidR="00E576B1">
        <w:rPr>
          <w:rFonts w:ascii="Arial" w:hAnsi="Arial" w:cs="Arial"/>
        </w:rPr>
        <w:t>los cuales</w:t>
      </w:r>
      <w:r w:rsidR="00E576B1" w:rsidRPr="004D7219">
        <w:rPr>
          <w:rFonts w:ascii="Arial" w:hAnsi="Arial" w:cs="Arial"/>
        </w:rPr>
        <w:t xml:space="preserve"> representan inconsistencias y/o incumplimientos </w:t>
      </w:r>
      <w:r w:rsidR="00E576B1">
        <w:rPr>
          <w:rFonts w:ascii="Arial" w:hAnsi="Arial" w:cs="Arial"/>
        </w:rPr>
        <w:t>en la normativa correspondiente,</w:t>
      </w:r>
      <w:r w:rsidR="00E576B1" w:rsidRPr="004D7219">
        <w:rPr>
          <w:rFonts w:ascii="Arial" w:hAnsi="Arial" w:cs="Arial"/>
        </w:rPr>
        <w:t xml:space="preserve"> </w:t>
      </w:r>
      <w:r w:rsidR="004D7219" w:rsidRPr="004D7219">
        <w:rPr>
          <w:rFonts w:ascii="Arial" w:hAnsi="Arial" w:cs="Arial"/>
        </w:rPr>
        <w:t xml:space="preserve">sobre </w:t>
      </w:r>
      <w:r w:rsidR="00E576B1">
        <w:rPr>
          <w:rFonts w:ascii="Arial" w:hAnsi="Arial" w:cs="Arial"/>
        </w:rPr>
        <w:t>los</w:t>
      </w:r>
      <w:r w:rsidR="004D7219" w:rsidRPr="004D7219">
        <w:rPr>
          <w:rFonts w:ascii="Arial" w:hAnsi="Arial" w:cs="Arial"/>
        </w:rPr>
        <w:t xml:space="preserve"> cual</w:t>
      </w:r>
      <w:r w:rsidR="00E576B1">
        <w:rPr>
          <w:rFonts w:ascii="Arial" w:hAnsi="Arial" w:cs="Arial"/>
        </w:rPr>
        <w:t>es</w:t>
      </w:r>
      <w:r w:rsidR="004D7219" w:rsidRPr="004D7219">
        <w:rPr>
          <w:rFonts w:ascii="Arial" w:hAnsi="Arial" w:cs="Arial"/>
        </w:rPr>
        <w:t xml:space="preserve"> se instaurarán procedimientos de investigación y se elaboran los Informes de Presuntas Irregularidades, en los términos legales aplicables</w:t>
      </w:r>
      <w:r w:rsidRPr="00AD0C2C">
        <w:rPr>
          <w:rFonts w:ascii="Arial" w:hAnsi="Arial" w:cs="Arial"/>
        </w:rPr>
        <w:t>.</w:t>
      </w:r>
    </w:p>
    <w:p w14:paraId="42DE3ABF" w14:textId="52722781" w:rsidR="00C73699" w:rsidRDefault="00C73699" w:rsidP="00C73699">
      <w:pPr>
        <w:pStyle w:val="Sinespaciado"/>
        <w:spacing w:line="276" w:lineRule="auto"/>
        <w:jc w:val="both"/>
        <w:rPr>
          <w:rFonts w:ascii="Arial" w:hAnsi="Arial" w:cs="Arial"/>
        </w:rPr>
      </w:pPr>
    </w:p>
    <w:p w14:paraId="62808EAC" w14:textId="77777777" w:rsidR="00C73699" w:rsidRDefault="00C73699" w:rsidP="00C73699">
      <w:pPr>
        <w:pStyle w:val="Sinespaciado"/>
        <w:spacing w:line="276" w:lineRule="auto"/>
        <w:jc w:val="both"/>
        <w:rPr>
          <w:rFonts w:ascii="Arial" w:hAnsi="Arial" w:cs="Arial"/>
        </w:rPr>
      </w:pPr>
      <w:r w:rsidRPr="00AD0C2C">
        <w:rPr>
          <w:rFonts w:ascii="Arial" w:hAnsi="Arial" w:cs="Arial"/>
        </w:rPr>
        <w:t>En el proceso de fiscalización se identificaron áreas de oportunidad para un mejor funcionamiento de la Entidad Fiscalizada, toda vez que se identificaron debilidades las cuales se precisan en el apartado de Resultados de la Fiscalización efectuada.</w:t>
      </w:r>
    </w:p>
    <w:p w14:paraId="78EE3BCA" w14:textId="77777777" w:rsidR="00C73699" w:rsidRPr="00665331" w:rsidRDefault="00C73699" w:rsidP="00C73699">
      <w:pPr>
        <w:pStyle w:val="Sinespaciado"/>
        <w:spacing w:line="276" w:lineRule="auto"/>
        <w:jc w:val="both"/>
        <w:rPr>
          <w:rFonts w:ascii="Arial" w:eastAsia="Arial" w:hAnsi="Arial" w:cs="Arial"/>
        </w:rPr>
      </w:pPr>
    </w:p>
    <w:p w14:paraId="6678B662" w14:textId="77777777" w:rsidR="00C73699" w:rsidRPr="00102227" w:rsidRDefault="00C73699" w:rsidP="00C73699">
      <w:pPr>
        <w:pStyle w:val="Sinespaciado"/>
        <w:spacing w:line="276" w:lineRule="auto"/>
        <w:jc w:val="both"/>
        <w:rPr>
          <w:rFonts w:ascii="Arial" w:eastAsia="Arial" w:hAnsi="Arial" w:cs="Arial"/>
          <w:iCs/>
        </w:rPr>
      </w:pPr>
      <w:r w:rsidRPr="00A9307E">
        <w:rPr>
          <w:rFonts w:ascii="Arial" w:hAnsi="Arial" w:cs="Arial"/>
        </w:rPr>
        <w:t xml:space="preserve">Derivado del contenido del presente informe se desprenden datos personales, por lo que se deberá </w:t>
      </w:r>
      <w:r w:rsidRPr="00F9585A">
        <w:rPr>
          <w:rFonts w:ascii="Arial" w:hAnsi="Arial" w:cs="Arial"/>
        </w:rPr>
        <w:t>guardar reserva y confidencialidad en</w:t>
      </w:r>
      <w:r w:rsidRPr="00A9307E">
        <w:rPr>
          <w:rFonts w:ascii="Arial" w:hAnsi="Arial" w:cs="Arial"/>
        </w:rPr>
        <w:t xml:space="preserve">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A9307E">
        <w:rPr>
          <w:rFonts w:ascii="Arial" w:hAnsi="Arial" w:cs="Arial"/>
          <w:b/>
          <w:iCs/>
        </w:rPr>
        <w:t>.</w:t>
      </w:r>
    </w:p>
    <w:p w14:paraId="77FACD6F" w14:textId="6BA82052" w:rsidR="00034362" w:rsidRDefault="00034362" w:rsidP="00C73699">
      <w:pPr>
        <w:tabs>
          <w:tab w:val="left" w:pos="4554"/>
        </w:tabs>
        <w:rPr>
          <w:b/>
          <w:lang w:val="es-ES_tradnl"/>
        </w:rPr>
      </w:pPr>
    </w:p>
    <w:p w14:paraId="2BECD384" w14:textId="77777777" w:rsidR="00034362" w:rsidRDefault="00034362" w:rsidP="00C73699">
      <w:pPr>
        <w:tabs>
          <w:tab w:val="left" w:pos="4554"/>
        </w:tabs>
        <w:rPr>
          <w:b/>
          <w:lang w:val="es-ES_tradnl"/>
        </w:rPr>
      </w:pPr>
    </w:p>
    <w:sectPr w:rsidR="00034362" w:rsidSect="005054B6">
      <w:headerReference w:type="default" r:id="rId8"/>
      <w:footerReference w:type="default" r:id="rId9"/>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6EBD5" w14:textId="77777777" w:rsidR="00EE2662" w:rsidRDefault="00EE2662" w:rsidP="00864A97">
      <w:r>
        <w:separator/>
      </w:r>
    </w:p>
  </w:endnote>
  <w:endnote w:type="continuationSeparator" w:id="0">
    <w:p w14:paraId="09B243B3" w14:textId="77777777" w:rsidR="00EE2662" w:rsidRDefault="00EE2662"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114987" w:rsidRPr="006F5671" w:rsidRDefault="00114987" w:rsidP="00114987">
            <w:pPr>
              <w:pStyle w:val="Piedepgina"/>
              <w:rPr>
                <w:noProof/>
                <w:sz w:val="4"/>
                <w:szCs w:val="4"/>
                <w:lang w:eastAsia="es-MX"/>
              </w:rPr>
            </w:pPr>
          </w:p>
          <w:p w14:paraId="4E289169" w14:textId="77777777" w:rsidR="00114987" w:rsidRDefault="00114987" w:rsidP="00114987">
            <w:pPr>
              <w:pStyle w:val="Piedepgina"/>
              <w:jc w:val="right"/>
              <w:rPr>
                <w:rFonts w:ascii="Arial" w:hAnsi="Arial" w:cs="Arial"/>
                <w:sz w:val="18"/>
                <w:szCs w:val="18"/>
              </w:rPr>
            </w:pPr>
          </w:p>
          <w:p w14:paraId="7E7282B5" w14:textId="5965BD44" w:rsidR="003C729F" w:rsidRDefault="00114987"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00A16940">
              <w:rPr>
                <w:rFonts w:ascii="Arial" w:hAnsi="Arial" w:cs="Arial"/>
                <w:noProof/>
                <w:sz w:val="18"/>
                <w:szCs w:val="18"/>
              </w:rPr>
              <w:t>7</w:t>
            </w:r>
            <w:r w:rsidRPr="00726A63">
              <w:rPr>
                <w:rFonts w:ascii="Arial" w:hAnsi="Arial" w:cs="Arial"/>
                <w:sz w:val="18"/>
                <w:szCs w:val="18"/>
              </w:rPr>
              <w:fldChar w:fldCharType="end"/>
            </w:r>
            <w:r w:rsidR="000B6619">
              <w:rPr>
                <w:rFonts w:ascii="Arial" w:hAnsi="Arial" w:cs="Arial"/>
                <w:sz w:val="18"/>
                <w:szCs w:val="18"/>
              </w:rPr>
              <w:t xml:space="preserve"> </w:t>
            </w:r>
            <w:r w:rsidR="000B6619">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00A16940">
              <w:rPr>
                <w:rFonts w:ascii="Arial" w:hAnsi="Arial" w:cs="Arial"/>
                <w:noProof/>
                <w:sz w:val="18"/>
                <w:szCs w:val="18"/>
              </w:rPr>
              <w:t>7</w:t>
            </w:r>
            <w:r w:rsidRPr="00726A63">
              <w:rPr>
                <w:rFonts w:ascii="Arial" w:hAnsi="Arial" w:cs="Arial"/>
                <w:sz w:val="18"/>
                <w:szCs w:val="18"/>
              </w:rPr>
              <w:fldChar w:fldCharType="end"/>
            </w:r>
          </w:p>
          <w:p w14:paraId="0D99BD70" w14:textId="56EEA42A" w:rsidR="003C729F" w:rsidRDefault="003C729F" w:rsidP="006F5671">
            <w:pPr>
              <w:pStyle w:val="Piedepgina"/>
              <w:jc w:val="right"/>
              <w:rPr>
                <w:rFonts w:ascii="Arial" w:hAnsi="Arial" w:cs="Arial"/>
                <w:sz w:val="18"/>
                <w:szCs w:val="18"/>
              </w:rPr>
            </w:pPr>
          </w:p>
          <w:p w14:paraId="1C1CB07C" w14:textId="1F072C08" w:rsidR="003C729F" w:rsidRDefault="003C729F" w:rsidP="006F5671">
            <w:pPr>
              <w:pStyle w:val="Piedepgina"/>
              <w:jc w:val="right"/>
              <w:rPr>
                <w:rFonts w:ascii="Arial" w:hAnsi="Arial" w:cs="Arial"/>
                <w:sz w:val="18"/>
                <w:szCs w:val="18"/>
              </w:rPr>
            </w:pPr>
            <w:r w:rsidRPr="00F04DB1">
              <w:rPr>
                <w:noProof/>
                <w:lang w:eastAsia="es-MX"/>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3C729F" w:rsidRDefault="003C729F" w:rsidP="006F5671">
            <w:pPr>
              <w:pStyle w:val="Piedepgina"/>
              <w:jc w:val="right"/>
              <w:rPr>
                <w:rFonts w:ascii="Arial" w:hAnsi="Arial" w:cs="Arial"/>
                <w:sz w:val="18"/>
                <w:szCs w:val="18"/>
              </w:rPr>
            </w:pPr>
          </w:p>
          <w:p w14:paraId="1C4F548B" w14:textId="77777777" w:rsidR="003C729F" w:rsidRDefault="003C729F" w:rsidP="006F5671">
            <w:pPr>
              <w:pStyle w:val="Piedepgina"/>
              <w:jc w:val="right"/>
              <w:rPr>
                <w:rFonts w:ascii="Arial" w:hAnsi="Arial" w:cs="Arial"/>
                <w:sz w:val="18"/>
                <w:szCs w:val="18"/>
              </w:rPr>
            </w:pPr>
          </w:p>
          <w:p w14:paraId="7FB1D95C" w14:textId="22FE9964" w:rsidR="002F17FF" w:rsidRPr="006F5671" w:rsidRDefault="00EE2662"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61728" w14:textId="77777777" w:rsidR="00EE2662" w:rsidRDefault="00EE2662" w:rsidP="00864A97">
      <w:r>
        <w:separator/>
      </w:r>
    </w:p>
  </w:footnote>
  <w:footnote w:type="continuationSeparator" w:id="0">
    <w:p w14:paraId="2240F067" w14:textId="77777777" w:rsidR="00EE2662" w:rsidRDefault="00EE2662"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2F17FF" w:rsidRDefault="006B1BF3">
    <w:pPr>
      <w:pStyle w:val="Encabezado"/>
    </w:pPr>
    <w:r w:rsidRPr="006B1BF3">
      <w:rPr>
        <w:noProof/>
        <w:lang w:eastAsia="es-MX"/>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3"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5"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0371F12"/>
    <w:multiLevelType w:val="hybridMultilevel"/>
    <w:tmpl w:val="6F3E24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10"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7"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2"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6"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15A29B0"/>
    <w:multiLevelType w:val="multilevel"/>
    <w:tmpl w:val="F38268C8"/>
    <w:lvl w:ilvl="0">
      <w:start w:val="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3"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5"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7"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B4A2664"/>
    <w:multiLevelType w:val="multilevel"/>
    <w:tmpl w:val="F844E1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413747326">
    <w:abstractNumId w:val="21"/>
  </w:num>
  <w:num w:numId="2" w16cid:durableId="1608730951">
    <w:abstractNumId w:val="22"/>
  </w:num>
  <w:num w:numId="3" w16cid:durableId="731656277">
    <w:abstractNumId w:val="10"/>
  </w:num>
  <w:num w:numId="4" w16cid:durableId="1700399513">
    <w:abstractNumId w:val="25"/>
  </w:num>
  <w:num w:numId="5" w16cid:durableId="1130631615">
    <w:abstractNumId w:val="36"/>
  </w:num>
  <w:num w:numId="6" w16cid:durableId="809901177">
    <w:abstractNumId w:val="30"/>
  </w:num>
  <w:num w:numId="7" w16cid:durableId="676929394">
    <w:abstractNumId w:val="33"/>
  </w:num>
  <w:num w:numId="8" w16cid:durableId="1986809456">
    <w:abstractNumId w:val="3"/>
  </w:num>
  <w:num w:numId="9" w16cid:durableId="1624580095">
    <w:abstractNumId w:val="32"/>
  </w:num>
  <w:num w:numId="10" w16cid:durableId="681667854">
    <w:abstractNumId w:val="27"/>
  </w:num>
  <w:num w:numId="11" w16cid:durableId="1746216993">
    <w:abstractNumId w:val="12"/>
  </w:num>
  <w:num w:numId="12" w16cid:durableId="1931815670">
    <w:abstractNumId w:val="1"/>
  </w:num>
  <w:num w:numId="13" w16cid:durableId="1885868583">
    <w:abstractNumId w:val="9"/>
  </w:num>
  <w:num w:numId="14" w16cid:durableId="290986773">
    <w:abstractNumId w:val="19"/>
  </w:num>
  <w:num w:numId="15" w16cid:durableId="365451289">
    <w:abstractNumId w:val="29"/>
  </w:num>
  <w:num w:numId="16" w16cid:durableId="859779653">
    <w:abstractNumId w:val="17"/>
  </w:num>
  <w:num w:numId="17" w16cid:durableId="164127637">
    <w:abstractNumId w:val="35"/>
  </w:num>
  <w:num w:numId="18" w16cid:durableId="1321733816">
    <w:abstractNumId w:val="8"/>
  </w:num>
  <w:num w:numId="19" w16cid:durableId="597107362">
    <w:abstractNumId w:val="23"/>
  </w:num>
  <w:num w:numId="20" w16cid:durableId="1434479068">
    <w:abstractNumId w:val="34"/>
  </w:num>
  <w:num w:numId="21" w16cid:durableId="1793278948">
    <w:abstractNumId w:val="37"/>
  </w:num>
  <w:num w:numId="22" w16cid:durableId="784082263">
    <w:abstractNumId w:val="2"/>
  </w:num>
  <w:num w:numId="23" w16cid:durableId="1123959689">
    <w:abstractNumId w:val="4"/>
  </w:num>
  <w:num w:numId="24" w16cid:durableId="1092894443">
    <w:abstractNumId w:val="16"/>
  </w:num>
  <w:num w:numId="25" w16cid:durableId="430395421">
    <w:abstractNumId w:val="20"/>
  </w:num>
  <w:num w:numId="26" w16cid:durableId="1443106387">
    <w:abstractNumId w:val="13"/>
  </w:num>
  <w:num w:numId="27" w16cid:durableId="1043823153">
    <w:abstractNumId w:val="18"/>
  </w:num>
  <w:num w:numId="28" w16cid:durableId="1235164483">
    <w:abstractNumId w:val="11"/>
  </w:num>
  <w:num w:numId="29" w16cid:durableId="593516525">
    <w:abstractNumId w:val="6"/>
  </w:num>
  <w:num w:numId="30" w16cid:durableId="1747453501">
    <w:abstractNumId w:val="14"/>
  </w:num>
  <w:num w:numId="31" w16cid:durableId="454836381">
    <w:abstractNumId w:val="0"/>
  </w:num>
  <w:num w:numId="32" w16cid:durableId="425879541">
    <w:abstractNumId w:val="31"/>
  </w:num>
  <w:num w:numId="33" w16cid:durableId="5406135">
    <w:abstractNumId w:val="24"/>
  </w:num>
  <w:num w:numId="34" w16cid:durableId="853498858">
    <w:abstractNumId w:val="15"/>
  </w:num>
  <w:num w:numId="35" w16cid:durableId="343437716">
    <w:abstractNumId w:val="5"/>
  </w:num>
  <w:num w:numId="36" w16cid:durableId="637688305">
    <w:abstractNumId w:val="26"/>
  </w:num>
  <w:num w:numId="37" w16cid:durableId="2074237304">
    <w:abstractNumId w:val="38"/>
  </w:num>
  <w:num w:numId="38" w16cid:durableId="911038189">
    <w:abstractNumId w:val="7"/>
  </w:num>
  <w:num w:numId="39" w16cid:durableId="432824222">
    <w:abstractNumId w:val="2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0F28"/>
    <w:rsid w:val="00001C05"/>
    <w:rsid w:val="00002AB8"/>
    <w:rsid w:val="0000385B"/>
    <w:rsid w:val="00003EF5"/>
    <w:rsid w:val="000048D9"/>
    <w:rsid w:val="0001258F"/>
    <w:rsid w:val="00012D35"/>
    <w:rsid w:val="0002043B"/>
    <w:rsid w:val="00021CF4"/>
    <w:rsid w:val="00021DC0"/>
    <w:rsid w:val="00022748"/>
    <w:rsid w:val="00022D1A"/>
    <w:rsid w:val="00024033"/>
    <w:rsid w:val="00026625"/>
    <w:rsid w:val="00027342"/>
    <w:rsid w:val="0003018C"/>
    <w:rsid w:val="00031A96"/>
    <w:rsid w:val="00034362"/>
    <w:rsid w:val="00036FED"/>
    <w:rsid w:val="00040688"/>
    <w:rsid w:val="00040A50"/>
    <w:rsid w:val="00041719"/>
    <w:rsid w:val="00042287"/>
    <w:rsid w:val="0004305C"/>
    <w:rsid w:val="000474F3"/>
    <w:rsid w:val="00051F03"/>
    <w:rsid w:val="0005237A"/>
    <w:rsid w:val="000560CB"/>
    <w:rsid w:val="000563EB"/>
    <w:rsid w:val="00071CF3"/>
    <w:rsid w:val="00072784"/>
    <w:rsid w:val="00073B5D"/>
    <w:rsid w:val="00084C1C"/>
    <w:rsid w:val="00090EA6"/>
    <w:rsid w:val="00094825"/>
    <w:rsid w:val="00094B61"/>
    <w:rsid w:val="000952CB"/>
    <w:rsid w:val="000A0720"/>
    <w:rsid w:val="000A19BE"/>
    <w:rsid w:val="000A1F70"/>
    <w:rsid w:val="000A3701"/>
    <w:rsid w:val="000A414A"/>
    <w:rsid w:val="000B633C"/>
    <w:rsid w:val="000B6619"/>
    <w:rsid w:val="000C1360"/>
    <w:rsid w:val="000C1BBB"/>
    <w:rsid w:val="000C282E"/>
    <w:rsid w:val="000C348A"/>
    <w:rsid w:val="000C355F"/>
    <w:rsid w:val="000C5DAC"/>
    <w:rsid w:val="000C625A"/>
    <w:rsid w:val="000D0641"/>
    <w:rsid w:val="000D0757"/>
    <w:rsid w:val="000D0CFD"/>
    <w:rsid w:val="000D40B0"/>
    <w:rsid w:val="000D448E"/>
    <w:rsid w:val="000D4BE3"/>
    <w:rsid w:val="000D57A5"/>
    <w:rsid w:val="000D5A48"/>
    <w:rsid w:val="000E0472"/>
    <w:rsid w:val="000E106F"/>
    <w:rsid w:val="000E3F0C"/>
    <w:rsid w:val="000E45F2"/>
    <w:rsid w:val="000F44B0"/>
    <w:rsid w:val="000F4AC9"/>
    <w:rsid w:val="000F783B"/>
    <w:rsid w:val="001006AC"/>
    <w:rsid w:val="001015D3"/>
    <w:rsid w:val="00102227"/>
    <w:rsid w:val="00102F10"/>
    <w:rsid w:val="001118B7"/>
    <w:rsid w:val="00114987"/>
    <w:rsid w:val="001173EB"/>
    <w:rsid w:val="00121072"/>
    <w:rsid w:val="00126511"/>
    <w:rsid w:val="001273ED"/>
    <w:rsid w:val="001313F7"/>
    <w:rsid w:val="00141DEB"/>
    <w:rsid w:val="00142FE3"/>
    <w:rsid w:val="00145FBB"/>
    <w:rsid w:val="00146F03"/>
    <w:rsid w:val="00146FD7"/>
    <w:rsid w:val="00150ACA"/>
    <w:rsid w:val="00156595"/>
    <w:rsid w:val="00161FB3"/>
    <w:rsid w:val="00166ECA"/>
    <w:rsid w:val="001709D2"/>
    <w:rsid w:val="00173CD8"/>
    <w:rsid w:val="00177CA9"/>
    <w:rsid w:val="00181FC4"/>
    <w:rsid w:val="00182160"/>
    <w:rsid w:val="00182602"/>
    <w:rsid w:val="0018452E"/>
    <w:rsid w:val="00190338"/>
    <w:rsid w:val="001954FE"/>
    <w:rsid w:val="00197A36"/>
    <w:rsid w:val="001A3191"/>
    <w:rsid w:val="001A63F7"/>
    <w:rsid w:val="001B04A4"/>
    <w:rsid w:val="001B0577"/>
    <w:rsid w:val="001B17F4"/>
    <w:rsid w:val="001B34B0"/>
    <w:rsid w:val="001C159D"/>
    <w:rsid w:val="001C3967"/>
    <w:rsid w:val="001C4AAA"/>
    <w:rsid w:val="001C52A9"/>
    <w:rsid w:val="001C5750"/>
    <w:rsid w:val="001C665A"/>
    <w:rsid w:val="001D2307"/>
    <w:rsid w:val="001D287F"/>
    <w:rsid w:val="001D31C9"/>
    <w:rsid w:val="001D6615"/>
    <w:rsid w:val="001E1D9A"/>
    <w:rsid w:val="001E2354"/>
    <w:rsid w:val="001E2900"/>
    <w:rsid w:val="001E2CED"/>
    <w:rsid w:val="001E3045"/>
    <w:rsid w:val="001E7C92"/>
    <w:rsid w:val="001F38F0"/>
    <w:rsid w:val="001F3CC7"/>
    <w:rsid w:val="001F5B31"/>
    <w:rsid w:val="001F6CB4"/>
    <w:rsid w:val="001F71FB"/>
    <w:rsid w:val="001F73FB"/>
    <w:rsid w:val="001F76DD"/>
    <w:rsid w:val="002022E9"/>
    <w:rsid w:val="00203033"/>
    <w:rsid w:val="002030EE"/>
    <w:rsid w:val="00205202"/>
    <w:rsid w:val="00205DCC"/>
    <w:rsid w:val="00206541"/>
    <w:rsid w:val="0020730E"/>
    <w:rsid w:val="002118A7"/>
    <w:rsid w:val="00212771"/>
    <w:rsid w:val="002214FF"/>
    <w:rsid w:val="00223C2E"/>
    <w:rsid w:val="0023284F"/>
    <w:rsid w:val="00235F2E"/>
    <w:rsid w:val="00236CA5"/>
    <w:rsid w:val="00237B98"/>
    <w:rsid w:val="00247968"/>
    <w:rsid w:val="002508E5"/>
    <w:rsid w:val="00251664"/>
    <w:rsid w:val="00252BDB"/>
    <w:rsid w:val="0025712F"/>
    <w:rsid w:val="00260B9F"/>
    <w:rsid w:val="00262DD4"/>
    <w:rsid w:val="0026599B"/>
    <w:rsid w:val="00271FB9"/>
    <w:rsid w:val="002725BD"/>
    <w:rsid w:val="00275CA1"/>
    <w:rsid w:val="002764F7"/>
    <w:rsid w:val="002767D0"/>
    <w:rsid w:val="00284830"/>
    <w:rsid w:val="00284C10"/>
    <w:rsid w:val="00291281"/>
    <w:rsid w:val="002922CA"/>
    <w:rsid w:val="00292746"/>
    <w:rsid w:val="00293EED"/>
    <w:rsid w:val="00296329"/>
    <w:rsid w:val="00296B75"/>
    <w:rsid w:val="002A17DA"/>
    <w:rsid w:val="002A1F45"/>
    <w:rsid w:val="002B34FD"/>
    <w:rsid w:val="002C324A"/>
    <w:rsid w:val="002C37D7"/>
    <w:rsid w:val="002C69F9"/>
    <w:rsid w:val="002D0D34"/>
    <w:rsid w:val="002D418D"/>
    <w:rsid w:val="002D4B43"/>
    <w:rsid w:val="002D4FB4"/>
    <w:rsid w:val="002D5253"/>
    <w:rsid w:val="002D7596"/>
    <w:rsid w:val="002E03E5"/>
    <w:rsid w:val="002E08E8"/>
    <w:rsid w:val="002E2535"/>
    <w:rsid w:val="002E39F4"/>
    <w:rsid w:val="002E434A"/>
    <w:rsid w:val="002F0868"/>
    <w:rsid w:val="002F17FF"/>
    <w:rsid w:val="002F6DB1"/>
    <w:rsid w:val="003022D0"/>
    <w:rsid w:val="003046F6"/>
    <w:rsid w:val="003111C2"/>
    <w:rsid w:val="00320835"/>
    <w:rsid w:val="00322E1C"/>
    <w:rsid w:val="00322F1B"/>
    <w:rsid w:val="0032541D"/>
    <w:rsid w:val="0032754D"/>
    <w:rsid w:val="00330C4F"/>
    <w:rsid w:val="00331027"/>
    <w:rsid w:val="00331D9E"/>
    <w:rsid w:val="00332F36"/>
    <w:rsid w:val="0033354E"/>
    <w:rsid w:val="00336802"/>
    <w:rsid w:val="003413DB"/>
    <w:rsid w:val="00342285"/>
    <w:rsid w:val="00342D52"/>
    <w:rsid w:val="00342E64"/>
    <w:rsid w:val="00351643"/>
    <w:rsid w:val="0035210F"/>
    <w:rsid w:val="00352389"/>
    <w:rsid w:val="00352532"/>
    <w:rsid w:val="003551CF"/>
    <w:rsid w:val="003557B7"/>
    <w:rsid w:val="003608E0"/>
    <w:rsid w:val="00361400"/>
    <w:rsid w:val="0036589F"/>
    <w:rsid w:val="003660B7"/>
    <w:rsid w:val="0036621E"/>
    <w:rsid w:val="0037545D"/>
    <w:rsid w:val="00376D1F"/>
    <w:rsid w:val="003806FD"/>
    <w:rsid w:val="00385F15"/>
    <w:rsid w:val="003862C2"/>
    <w:rsid w:val="00386D09"/>
    <w:rsid w:val="00390412"/>
    <w:rsid w:val="003944C6"/>
    <w:rsid w:val="0039609F"/>
    <w:rsid w:val="00397F30"/>
    <w:rsid w:val="003A277A"/>
    <w:rsid w:val="003A347B"/>
    <w:rsid w:val="003A4201"/>
    <w:rsid w:val="003A522F"/>
    <w:rsid w:val="003B2BC4"/>
    <w:rsid w:val="003B4D37"/>
    <w:rsid w:val="003B5666"/>
    <w:rsid w:val="003C258E"/>
    <w:rsid w:val="003C28EA"/>
    <w:rsid w:val="003C2ED0"/>
    <w:rsid w:val="003C2F99"/>
    <w:rsid w:val="003C4C6C"/>
    <w:rsid w:val="003C5EE6"/>
    <w:rsid w:val="003C611A"/>
    <w:rsid w:val="003C6318"/>
    <w:rsid w:val="003C6F9D"/>
    <w:rsid w:val="003C729F"/>
    <w:rsid w:val="003C7A71"/>
    <w:rsid w:val="003D38DC"/>
    <w:rsid w:val="003D6195"/>
    <w:rsid w:val="003D7B20"/>
    <w:rsid w:val="003D7E58"/>
    <w:rsid w:val="003E2429"/>
    <w:rsid w:val="003E71D3"/>
    <w:rsid w:val="003F6194"/>
    <w:rsid w:val="003F6EC6"/>
    <w:rsid w:val="00403B48"/>
    <w:rsid w:val="00403CC8"/>
    <w:rsid w:val="00406842"/>
    <w:rsid w:val="00410C61"/>
    <w:rsid w:val="00411190"/>
    <w:rsid w:val="004112D3"/>
    <w:rsid w:val="0041692A"/>
    <w:rsid w:val="00417579"/>
    <w:rsid w:val="004176EA"/>
    <w:rsid w:val="0041775E"/>
    <w:rsid w:val="00421DA2"/>
    <w:rsid w:val="00421EAD"/>
    <w:rsid w:val="00423887"/>
    <w:rsid w:val="00424C15"/>
    <w:rsid w:val="00435684"/>
    <w:rsid w:val="00442797"/>
    <w:rsid w:val="00451606"/>
    <w:rsid w:val="00453540"/>
    <w:rsid w:val="00460814"/>
    <w:rsid w:val="00461D4A"/>
    <w:rsid w:val="00462A20"/>
    <w:rsid w:val="00471C6D"/>
    <w:rsid w:val="00476348"/>
    <w:rsid w:val="004767E8"/>
    <w:rsid w:val="004769B5"/>
    <w:rsid w:val="004804FC"/>
    <w:rsid w:val="00483F8E"/>
    <w:rsid w:val="00487DA1"/>
    <w:rsid w:val="00492510"/>
    <w:rsid w:val="00492D19"/>
    <w:rsid w:val="004A00EA"/>
    <w:rsid w:val="004A0499"/>
    <w:rsid w:val="004A0FA6"/>
    <w:rsid w:val="004A2735"/>
    <w:rsid w:val="004A30D9"/>
    <w:rsid w:val="004A7D74"/>
    <w:rsid w:val="004B48A7"/>
    <w:rsid w:val="004B503E"/>
    <w:rsid w:val="004B65E2"/>
    <w:rsid w:val="004C2400"/>
    <w:rsid w:val="004C50AA"/>
    <w:rsid w:val="004C60DD"/>
    <w:rsid w:val="004C69C0"/>
    <w:rsid w:val="004D04BA"/>
    <w:rsid w:val="004D07FA"/>
    <w:rsid w:val="004D3273"/>
    <w:rsid w:val="004D4B31"/>
    <w:rsid w:val="004D5A50"/>
    <w:rsid w:val="004D7219"/>
    <w:rsid w:val="004E2BFC"/>
    <w:rsid w:val="004E6737"/>
    <w:rsid w:val="004E7553"/>
    <w:rsid w:val="004F09B7"/>
    <w:rsid w:val="004F1F64"/>
    <w:rsid w:val="004F5053"/>
    <w:rsid w:val="005054B6"/>
    <w:rsid w:val="00506537"/>
    <w:rsid w:val="00506BC0"/>
    <w:rsid w:val="0051124E"/>
    <w:rsid w:val="0051345C"/>
    <w:rsid w:val="00513E0B"/>
    <w:rsid w:val="005166CE"/>
    <w:rsid w:val="00526CB0"/>
    <w:rsid w:val="0053486A"/>
    <w:rsid w:val="0053656F"/>
    <w:rsid w:val="00541EF9"/>
    <w:rsid w:val="005431C0"/>
    <w:rsid w:val="00543EBB"/>
    <w:rsid w:val="00544D4D"/>
    <w:rsid w:val="00545683"/>
    <w:rsid w:val="0054590C"/>
    <w:rsid w:val="0054734D"/>
    <w:rsid w:val="00550E9B"/>
    <w:rsid w:val="005573DB"/>
    <w:rsid w:val="00560AD7"/>
    <w:rsid w:val="00561453"/>
    <w:rsid w:val="005623CE"/>
    <w:rsid w:val="00562B22"/>
    <w:rsid w:val="0056373F"/>
    <w:rsid w:val="00563B9F"/>
    <w:rsid w:val="00563DEF"/>
    <w:rsid w:val="005646B1"/>
    <w:rsid w:val="00565F46"/>
    <w:rsid w:val="00566F9C"/>
    <w:rsid w:val="00567F90"/>
    <w:rsid w:val="00573820"/>
    <w:rsid w:val="00573B6B"/>
    <w:rsid w:val="00576E2F"/>
    <w:rsid w:val="00577DC2"/>
    <w:rsid w:val="00584767"/>
    <w:rsid w:val="00586E53"/>
    <w:rsid w:val="005914A4"/>
    <w:rsid w:val="0059169D"/>
    <w:rsid w:val="00594428"/>
    <w:rsid w:val="00597C25"/>
    <w:rsid w:val="005A4B09"/>
    <w:rsid w:val="005A6E32"/>
    <w:rsid w:val="005A72B2"/>
    <w:rsid w:val="005A7BC7"/>
    <w:rsid w:val="005B2FB4"/>
    <w:rsid w:val="005B7B10"/>
    <w:rsid w:val="005C0B70"/>
    <w:rsid w:val="005C45FD"/>
    <w:rsid w:val="005C46E3"/>
    <w:rsid w:val="005C5F6D"/>
    <w:rsid w:val="005C615E"/>
    <w:rsid w:val="005C6D57"/>
    <w:rsid w:val="005D28B0"/>
    <w:rsid w:val="005D2CB8"/>
    <w:rsid w:val="005D5045"/>
    <w:rsid w:val="005D5172"/>
    <w:rsid w:val="005E08BC"/>
    <w:rsid w:val="005E35C8"/>
    <w:rsid w:val="005E466D"/>
    <w:rsid w:val="005E4F26"/>
    <w:rsid w:val="005E63EE"/>
    <w:rsid w:val="005E680D"/>
    <w:rsid w:val="005E6A61"/>
    <w:rsid w:val="005F0E89"/>
    <w:rsid w:val="005F4306"/>
    <w:rsid w:val="00606102"/>
    <w:rsid w:val="006112ED"/>
    <w:rsid w:val="0061708C"/>
    <w:rsid w:val="0061763E"/>
    <w:rsid w:val="006207E0"/>
    <w:rsid w:val="006214D1"/>
    <w:rsid w:val="00622356"/>
    <w:rsid w:val="00626CB9"/>
    <w:rsid w:val="00630566"/>
    <w:rsid w:val="00630B24"/>
    <w:rsid w:val="00632722"/>
    <w:rsid w:val="00633946"/>
    <w:rsid w:val="0063418E"/>
    <w:rsid w:val="00635FA5"/>
    <w:rsid w:val="00637E01"/>
    <w:rsid w:val="00641CF7"/>
    <w:rsid w:val="00642FD2"/>
    <w:rsid w:val="00645362"/>
    <w:rsid w:val="006458B6"/>
    <w:rsid w:val="006467D1"/>
    <w:rsid w:val="00650485"/>
    <w:rsid w:val="00654988"/>
    <w:rsid w:val="00654A04"/>
    <w:rsid w:val="006556A1"/>
    <w:rsid w:val="00655B26"/>
    <w:rsid w:val="00660A6B"/>
    <w:rsid w:val="00662767"/>
    <w:rsid w:val="0066417E"/>
    <w:rsid w:val="006642A8"/>
    <w:rsid w:val="00665577"/>
    <w:rsid w:val="00667915"/>
    <w:rsid w:val="006720B1"/>
    <w:rsid w:val="0067286D"/>
    <w:rsid w:val="0067548F"/>
    <w:rsid w:val="00675766"/>
    <w:rsid w:val="00675857"/>
    <w:rsid w:val="00675B90"/>
    <w:rsid w:val="00676B1B"/>
    <w:rsid w:val="00677D37"/>
    <w:rsid w:val="00685708"/>
    <w:rsid w:val="006904E8"/>
    <w:rsid w:val="0069142A"/>
    <w:rsid w:val="00694B79"/>
    <w:rsid w:val="00696410"/>
    <w:rsid w:val="006974C3"/>
    <w:rsid w:val="006A07E8"/>
    <w:rsid w:val="006A0ADC"/>
    <w:rsid w:val="006A335E"/>
    <w:rsid w:val="006B1BF3"/>
    <w:rsid w:val="006B2499"/>
    <w:rsid w:val="006B7950"/>
    <w:rsid w:val="006C25F6"/>
    <w:rsid w:val="006C2928"/>
    <w:rsid w:val="006C46CC"/>
    <w:rsid w:val="006C4FF8"/>
    <w:rsid w:val="006C7C59"/>
    <w:rsid w:val="006D235E"/>
    <w:rsid w:val="006D3321"/>
    <w:rsid w:val="006D749D"/>
    <w:rsid w:val="006E066E"/>
    <w:rsid w:val="006E2B2A"/>
    <w:rsid w:val="006E3AD3"/>
    <w:rsid w:val="006E6B5C"/>
    <w:rsid w:val="006E7431"/>
    <w:rsid w:val="006F1B71"/>
    <w:rsid w:val="006F2E08"/>
    <w:rsid w:val="006F5671"/>
    <w:rsid w:val="006F5890"/>
    <w:rsid w:val="006F72E8"/>
    <w:rsid w:val="00704C32"/>
    <w:rsid w:val="007078A6"/>
    <w:rsid w:val="00711C17"/>
    <w:rsid w:val="00712E94"/>
    <w:rsid w:val="007177DF"/>
    <w:rsid w:val="007228D0"/>
    <w:rsid w:val="007247D5"/>
    <w:rsid w:val="00726A63"/>
    <w:rsid w:val="007302DA"/>
    <w:rsid w:val="007351D2"/>
    <w:rsid w:val="00735A1F"/>
    <w:rsid w:val="00736F4D"/>
    <w:rsid w:val="00740211"/>
    <w:rsid w:val="00740461"/>
    <w:rsid w:val="00741E5D"/>
    <w:rsid w:val="00742AFA"/>
    <w:rsid w:val="007432BD"/>
    <w:rsid w:val="00744246"/>
    <w:rsid w:val="00744E6C"/>
    <w:rsid w:val="00744F57"/>
    <w:rsid w:val="00745279"/>
    <w:rsid w:val="00747C9E"/>
    <w:rsid w:val="007504BC"/>
    <w:rsid w:val="00756469"/>
    <w:rsid w:val="00757EBA"/>
    <w:rsid w:val="007606E5"/>
    <w:rsid w:val="00762C5A"/>
    <w:rsid w:val="00767ADE"/>
    <w:rsid w:val="00767C7F"/>
    <w:rsid w:val="007713CD"/>
    <w:rsid w:val="00772DBD"/>
    <w:rsid w:val="00773F2D"/>
    <w:rsid w:val="0078075D"/>
    <w:rsid w:val="00780A5A"/>
    <w:rsid w:val="00780BCF"/>
    <w:rsid w:val="0078182F"/>
    <w:rsid w:val="00787351"/>
    <w:rsid w:val="00791130"/>
    <w:rsid w:val="007933C4"/>
    <w:rsid w:val="00794DEC"/>
    <w:rsid w:val="0079767E"/>
    <w:rsid w:val="007A5C80"/>
    <w:rsid w:val="007A6403"/>
    <w:rsid w:val="007B0C6A"/>
    <w:rsid w:val="007B30B9"/>
    <w:rsid w:val="007B3AC0"/>
    <w:rsid w:val="007B3D5E"/>
    <w:rsid w:val="007B70BB"/>
    <w:rsid w:val="007C0498"/>
    <w:rsid w:val="007C3236"/>
    <w:rsid w:val="007C5075"/>
    <w:rsid w:val="007C6458"/>
    <w:rsid w:val="007C67D2"/>
    <w:rsid w:val="007D1945"/>
    <w:rsid w:val="007D4B98"/>
    <w:rsid w:val="007D509D"/>
    <w:rsid w:val="007D58DC"/>
    <w:rsid w:val="007D684B"/>
    <w:rsid w:val="007E1BAF"/>
    <w:rsid w:val="007E1F23"/>
    <w:rsid w:val="007E34AF"/>
    <w:rsid w:val="007E51E2"/>
    <w:rsid w:val="007E67F5"/>
    <w:rsid w:val="007E6A4C"/>
    <w:rsid w:val="007E7544"/>
    <w:rsid w:val="007F0532"/>
    <w:rsid w:val="007F192A"/>
    <w:rsid w:val="007F51D6"/>
    <w:rsid w:val="007F5BAA"/>
    <w:rsid w:val="008018EA"/>
    <w:rsid w:val="00802D47"/>
    <w:rsid w:val="00805996"/>
    <w:rsid w:val="00806906"/>
    <w:rsid w:val="008141F5"/>
    <w:rsid w:val="0081464F"/>
    <w:rsid w:val="00815E71"/>
    <w:rsid w:val="00821347"/>
    <w:rsid w:val="00821A42"/>
    <w:rsid w:val="00824878"/>
    <w:rsid w:val="00831C45"/>
    <w:rsid w:val="00832C3C"/>
    <w:rsid w:val="00835BA2"/>
    <w:rsid w:val="00842542"/>
    <w:rsid w:val="00843BB2"/>
    <w:rsid w:val="00844C19"/>
    <w:rsid w:val="00845304"/>
    <w:rsid w:val="00850230"/>
    <w:rsid w:val="0085643C"/>
    <w:rsid w:val="008611DA"/>
    <w:rsid w:val="00861ABB"/>
    <w:rsid w:val="00864A97"/>
    <w:rsid w:val="00864BDA"/>
    <w:rsid w:val="00865805"/>
    <w:rsid w:val="00870D5E"/>
    <w:rsid w:val="0087190A"/>
    <w:rsid w:val="008758B2"/>
    <w:rsid w:val="0087669F"/>
    <w:rsid w:val="00877C82"/>
    <w:rsid w:val="00882019"/>
    <w:rsid w:val="00882462"/>
    <w:rsid w:val="00884C0C"/>
    <w:rsid w:val="00885E64"/>
    <w:rsid w:val="008912A4"/>
    <w:rsid w:val="008921E0"/>
    <w:rsid w:val="00892451"/>
    <w:rsid w:val="00892F68"/>
    <w:rsid w:val="00896830"/>
    <w:rsid w:val="008977CE"/>
    <w:rsid w:val="00897DF9"/>
    <w:rsid w:val="008A0BB5"/>
    <w:rsid w:val="008A3A4B"/>
    <w:rsid w:val="008A5663"/>
    <w:rsid w:val="008B3F5E"/>
    <w:rsid w:val="008B4698"/>
    <w:rsid w:val="008C09CE"/>
    <w:rsid w:val="008C3317"/>
    <w:rsid w:val="008C33B7"/>
    <w:rsid w:val="008D03D0"/>
    <w:rsid w:val="008D0A08"/>
    <w:rsid w:val="008D1D6D"/>
    <w:rsid w:val="008D2331"/>
    <w:rsid w:val="008D4159"/>
    <w:rsid w:val="008D51CF"/>
    <w:rsid w:val="008D699A"/>
    <w:rsid w:val="008D753C"/>
    <w:rsid w:val="008E0441"/>
    <w:rsid w:val="008E1475"/>
    <w:rsid w:val="008E6BF2"/>
    <w:rsid w:val="008F5F19"/>
    <w:rsid w:val="008F6915"/>
    <w:rsid w:val="00900F43"/>
    <w:rsid w:val="00901AF2"/>
    <w:rsid w:val="009036B6"/>
    <w:rsid w:val="00904B77"/>
    <w:rsid w:val="009072C6"/>
    <w:rsid w:val="0090785B"/>
    <w:rsid w:val="00911023"/>
    <w:rsid w:val="009120A3"/>
    <w:rsid w:val="00913DE2"/>
    <w:rsid w:val="009152DA"/>
    <w:rsid w:val="00921B03"/>
    <w:rsid w:val="00922CB1"/>
    <w:rsid w:val="00925083"/>
    <w:rsid w:val="00926D22"/>
    <w:rsid w:val="00934CEF"/>
    <w:rsid w:val="00934F1D"/>
    <w:rsid w:val="0093587B"/>
    <w:rsid w:val="0093639F"/>
    <w:rsid w:val="00940992"/>
    <w:rsid w:val="00941DA8"/>
    <w:rsid w:val="00941E8E"/>
    <w:rsid w:val="009427F3"/>
    <w:rsid w:val="0094489B"/>
    <w:rsid w:val="00944A63"/>
    <w:rsid w:val="009450A9"/>
    <w:rsid w:val="0094628D"/>
    <w:rsid w:val="00946B1D"/>
    <w:rsid w:val="0095283F"/>
    <w:rsid w:val="00957595"/>
    <w:rsid w:val="00961B21"/>
    <w:rsid w:val="00965D2B"/>
    <w:rsid w:val="00966B11"/>
    <w:rsid w:val="00967DBF"/>
    <w:rsid w:val="009715B2"/>
    <w:rsid w:val="00972A30"/>
    <w:rsid w:val="00972AC1"/>
    <w:rsid w:val="00972BB6"/>
    <w:rsid w:val="0097422B"/>
    <w:rsid w:val="0097507D"/>
    <w:rsid w:val="009805B3"/>
    <w:rsid w:val="009808A9"/>
    <w:rsid w:val="0098277C"/>
    <w:rsid w:val="00984A80"/>
    <w:rsid w:val="00985E6E"/>
    <w:rsid w:val="00990361"/>
    <w:rsid w:val="00991251"/>
    <w:rsid w:val="00994EE4"/>
    <w:rsid w:val="009954CC"/>
    <w:rsid w:val="009977A8"/>
    <w:rsid w:val="009A6E85"/>
    <w:rsid w:val="009A7075"/>
    <w:rsid w:val="009A716F"/>
    <w:rsid w:val="009B0721"/>
    <w:rsid w:val="009B118A"/>
    <w:rsid w:val="009B4F7E"/>
    <w:rsid w:val="009B53A9"/>
    <w:rsid w:val="009C0751"/>
    <w:rsid w:val="009C26C8"/>
    <w:rsid w:val="009C3D4B"/>
    <w:rsid w:val="009C56F3"/>
    <w:rsid w:val="009C6E25"/>
    <w:rsid w:val="009D0E93"/>
    <w:rsid w:val="009D158E"/>
    <w:rsid w:val="009D31C8"/>
    <w:rsid w:val="009E0C12"/>
    <w:rsid w:val="009E4108"/>
    <w:rsid w:val="009F1CD2"/>
    <w:rsid w:val="009F74FB"/>
    <w:rsid w:val="00A0127D"/>
    <w:rsid w:val="00A01C8A"/>
    <w:rsid w:val="00A05B75"/>
    <w:rsid w:val="00A141EE"/>
    <w:rsid w:val="00A168BC"/>
    <w:rsid w:val="00A16940"/>
    <w:rsid w:val="00A175CC"/>
    <w:rsid w:val="00A175F8"/>
    <w:rsid w:val="00A219F3"/>
    <w:rsid w:val="00A266AE"/>
    <w:rsid w:val="00A26A19"/>
    <w:rsid w:val="00A26F77"/>
    <w:rsid w:val="00A27D64"/>
    <w:rsid w:val="00A31A3D"/>
    <w:rsid w:val="00A3749B"/>
    <w:rsid w:val="00A41938"/>
    <w:rsid w:val="00A45C31"/>
    <w:rsid w:val="00A467D6"/>
    <w:rsid w:val="00A4682D"/>
    <w:rsid w:val="00A4722D"/>
    <w:rsid w:val="00A47B06"/>
    <w:rsid w:val="00A47BCC"/>
    <w:rsid w:val="00A50762"/>
    <w:rsid w:val="00A57934"/>
    <w:rsid w:val="00A57A82"/>
    <w:rsid w:val="00A62668"/>
    <w:rsid w:val="00A62AE9"/>
    <w:rsid w:val="00A62D69"/>
    <w:rsid w:val="00A66C74"/>
    <w:rsid w:val="00A71F9D"/>
    <w:rsid w:val="00A74934"/>
    <w:rsid w:val="00A74E72"/>
    <w:rsid w:val="00A750A1"/>
    <w:rsid w:val="00A76081"/>
    <w:rsid w:val="00A76A74"/>
    <w:rsid w:val="00A80B34"/>
    <w:rsid w:val="00A825A9"/>
    <w:rsid w:val="00A879F1"/>
    <w:rsid w:val="00A9307E"/>
    <w:rsid w:val="00A93FBB"/>
    <w:rsid w:val="00A95155"/>
    <w:rsid w:val="00AA11DF"/>
    <w:rsid w:val="00AA5905"/>
    <w:rsid w:val="00AA710F"/>
    <w:rsid w:val="00AB107F"/>
    <w:rsid w:val="00AB14BE"/>
    <w:rsid w:val="00AB1903"/>
    <w:rsid w:val="00AB254E"/>
    <w:rsid w:val="00AB2999"/>
    <w:rsid w:val="00AB397E"/>
    <w:rsid w:val="00AB4C0D"/>
    <w:rsid w:val="00AB50E1"/>
    <w:rsid w:val="00AB55DF"/>
    <w:rsid w:val="00AC4052"/>
    <w:rsid w:val="00AC6EF4"/>
    <w:rsid w:val="00AC7BA1"/>
    <w:rsid w:val="00AD056C"/>
    <w:rsid w:val="00AD066B"/>
    <w:rsid w:val="00AD0C2C"/>
    <w:rsid w:val="00AD2C96"/>
    <w:rsid w:val="00AD50C0"/>
    <w:rsid w:val="00AD6706"/>
    <w:rsid w:val="00AD70E6"/>
    <w:rsid w:val="00AE48D0"/>
    <w:rsid w:val="00AE4F47"/>
    <w:rsid w:val="00AF3FCA"/>
    <w:rsid w:val="00AF511A"/>
    <w:rsid w:val="00AF5E8A"/>
    <w:rsid w:val="00B03BD0"/>
    <w:rsid w:val="00B0774F"/>
    <w:rsid w:val="00B15303"/>
    <w:rsid w:val="00B22612"/>
    <w:rsid w:val="00B23A7F"/>
    <w:rsid w:val="00B26F92"/>
    <w:rsid w:val="00B31204"/>
    <w:rsid w:val="00B321D5"/>
    <w:rsid w:val="00B32A14"/>
    <w:rsid w:val="00B32C1E"/>
    <w:rsid w:val="00B36914"/>
    <w:rsid w:val="00B407AC"/>
    <w:rsid w:val="00B40D55"/>
    <w:rsid w:val="00B41416"/>
    <w:rsid w:val="00B42A32"/>
    <w:rsid w:val="00B45F5B"/>
    <w:rsid w:val="00B462A0"/>
    <w:rsid w:val="00B50545"/>
    <w:rsid w:val="00B51484"/>
    <w:rsid w:val="00B52C0F"/>
    <w:rsid w:val="00B66408"/>
    <w:rsid w:val="00B71181"/>
    <w:rsid w:val="00B7192F"/>
    <w:rsid w:val="00B74E5D"/>
    <w:rsid w:val="00B77048"/>
    <w:rsid w:val="00B82EA0"/>
    <w:rsid w:val="00B874FF"/>
    <w:rsid w:val="00B944A8"/>
    <w:rsid w:val="00B95B02"/>
    <w:rsid w:val="00B96E56"/>
    <w:rsid w:val="00BA206A"/>
    <w:rsid w:val="00BA360F"/>
    <w:rsid w:val="00BA6B49"/>
    <w:rsid w:val="00BB022B"/>
    <w:rsid w:val="00BB1D8C"/>
    <w:rsid w:val="00BB3531"/>
    <w:rsid w:val="00BB4680"/>
    <w:rsid w:val="00BB72C3"/>
    <w:rsid w:val="00BC4FE8"/>
    <w:rsid w:val="00BC6716"/>
    <w:rsid w:val="00BD0072"/>
    <w:rsid w:val="00BD4AE6"/>
    <w:rsid w:val="00BD6C4A"/>
    <w:rsid w:val="00BE0C5D"/>
    <w:rsid w:val="00BE3AC9"/>
    <w:rsid w:val="00BE4342"/>
    <w:rsid w:val="00BE5432"/>
    <w:rsid w:val="00BE7770"/>
    <w:rsid w:val="00BE7B39"/>
    <w:rsid w:val="00BF1EAE"/>
    <w:rsid w:val="00BF363E"/>
    <w:rsid w:val="00BF41ED"/>
    <w:rsid w:val="00C030DD"/>
    <w:rsid w:val="00C04E80"/>
    <w:rsid w:val="00C1058C"/>
    <w:rsid w:val="00C13F66"/>
    <w:rsid w:val="00C1489C"/>
    <w:rsid w:val="00C157AA"/>
    <w:rsid w:val="00C15987"/>
    <w:rsid w:val="00C162A7"/>
    <w:rsid w:val="00C165CE"/>
    <w:rsid w:val="00C22F21"/>
    <w:rsid w:val="00C23AC0"/>
    <w:rsid w:val="00C40FA2"/>
    <w:rsid w:val="00C42152"/>
    <w:rsid w:val="00C42B18"/>
    <w:rsid w:val="00C436C2"/>
    <w:rsid w:val="00C4660F"/>
    <w:rsid w:val="00C475C0"/>
    <w:rsid w:val="00C541C5"/>
    <w:rsid w:val="00C54A76"/>
    <w:rsid w:val="00C6129D"/>
    <w:rsid w:val="00C62813"/>
    <w:rsid w:val="00C631E4"/>
    <w:rsid w:val="00C65922"/>
    <w:rsid w:val="00C65960"/>
    <w:rsid w:val="00C66E3B"/>
    <w:rsid w:val="00C67EC7"/>
    <w:rsid w:val="00C73699"/>
    <w:rsid w:val="00C76867"/>
    <w:rsid w:val="00C87A12"/>
    <w:rsid w:val="00C925E0"/>
    <w:rsid w:val="00C92F1D"/>
    <w:rsid w:val="00CA04DE"/>
    <w:rsid w:val="00CA356D"/>
    <w:rsid w:val="00CA3A4F"/>
    <w:rsid w:val="00CA4925"/>
    <w:rsid w:val="00CB0B42"/>
    <w:rsid w:val="00CB0D48"/>
    <w:rsid w:val="00CB15CF"/>
    <w:rsid w:val="00CB1B83"/>
    <w:rsid w:val="00CB4A86"/>
    <w:rsid w:val="00CB70D0"/>
    <w:rsid w:val="00CB7596"/>
    <w:rsid w:val="00CC02C3"/>
    <w:rsid w:val="00CC0A57"/>
    <w:rsid w:val="00CC0E6B"/>
    <w:rsid w:val="00CC2B7E"/>
    <w:rsid w:val="00CC66F8"/>
    <w:rsid w:val="00CC7184"/>
    <w:rsid w:val="00CC7828"/>
    <w:rsid w:val="00CD115D"/>
    <w:rsid w:val="00CD5A48"/>
    <w:rsid w:val="00CE4B48"/>
    <w:rsid w:val="00CE633C"/>
    <w:rsid w:val="00CE745E"/>
    <w:rsid w:val="00CF039D"/>
    <w:rsid w:val="00CF2668"/>
    <w:rsid w:val="00CF5987"/>
    <w:rsid w:val="00CF709E"/>
    <w:rsid w:val="00CF7580"/>
    <w:rsid w:val="00CF7D4F"/>
    <w:rsid w:val="00D06ACC"/>
    <w:rsid w:val="00D06CA5"/>
    <w:rsid w:val="00D13855"/>
    <w:rsid w:val="00D13D41"/>
    <w:rsid w:val="00D178C2"/>
    <w:rsid w:val="00D2011C"/>
    <w:rsid w:val="00D245D6"/>
    <w:rsid w:val="00D25585"/>
    <w:rsid w:val="00D30635"/>
    <w:rsid w:val="00D30969"/>
    <w:rsid w:val="00D334A9"/>
    <w:rsid w:val="00D340A8"/>
    <w:rsid w:val="00D3648D"/>
    <w:rsid w:val="00D37448"/>
    <w:rsid w:val="00D47005"/>
    <w:rsid w:val="00D51494"/>
    <w:rsid w:val="00D52081"/>
    <w:rsid w:val="00D532E4"/>
    <w:rsid w:val="00D54146"/>
    <w:rsid w:val="00D5466F"/>
    <w:rsid w:val="00D605E9"/>
    <w:rsid w:val="00D619B9"/>
    <w:rsid w:val="00D61A00"/>
    <w:rsid w:val="00D63B8D"/>
    <w:rsid w:val="00D81586"/>
    <w:rsid w:val="00D835B7"/>
    <w:rsid w:val="00D83CA3"/>
    <w:rsid w:val="00D83E69"/>
    <w:rsid w:val="00D8427E"/>
    <w:rsid w:val="00D85DE3"/>
    <w:rsid w:val="00D86893"/>
    <w:rsid w:val="00D909AD"/>
    <w:rsid w:val="00D90EEA"/>
    <w:rsid w:val="00D91209"/>
    <w:rsid w:val="00D930C4"/>
    <w:rsid w:val="00DA452F"/>
    <w:rsid w:val="00DA46B4"/>
    <w:rsid w:val="00DA64F8"/>
    <w:rsid w:val="00DA6647"/>
    <w:rsid w:val="00DB31AC"/>
    <w:rsid w:val="00DB451A"/>
    <w:rsid w:val="00DB74A1"/>
    <w:rsid w:val="00DC3C4D"/>
    <w:rsid w:val="00DC497E"/>
    <w:rsid w:val="00DD2D06"/>
    <w:rsid w:val="00DD37D5"/>
    <w:rsid w:val="00DD4BE2"/>
    <w:rsid w:val="00DD5B89"/>
    <w:rsid w:val="00DD5E90"/>
    <w:rsid w:val="00DD75BE"/>
    <w:rsid w:val="00DE0C81"/>
    <w:rsid w:val="00DE4564"/>
    <w:rsid w:val="00DF07BF"/>
    <w:rsid w:val="00DF19BC"/>
    <w:rsid w:val="00E002C0"/>
    <w:rsid w:val="00E01850"/>
    <w:rsid w:val="00E0320B"/>
    <w:rsid w:val="00E06C97"/>
    <w:rsid w:val="00E07DC9"/>
    <w:rsid w:val="00E16919"/>
    <w:rsid w:val="00E16A10"/>
    <w:rsid w:val="00E205E6"/>
    <w:rsid w:val="00E223E0"/>
    <w:rsid w:val="00E232F7"/>
    <w:rsid w:val="00E2760B"/>
    <w:rsid w:val="00E304BA"/>
    <w:rsid w:val="00E31E19"/>
    <w:rsid w:val="00E32A71"/>
    <w:rsid w:val="00E36293"/>
    <w:rsid w:val="00E410FF"/>
    <w:rsid w:val="00E43E84"/>
    <w:rsid w:val="00E50399"/>
    <w:rsid w:val="00E52721"/>
    <w:rsid w:val="00E5353C"/>
    <w:rsid w:val="00E556DA"/>
    <w:rsid w:val="00E55A18"/>
    <w:rsid w:val="00E56240"/>
    <w:rsid w:val="00E56322"/>
    <w:rsid w:val="00E563D5"/>
    <w:rsid w:val="00E576B1"/>
    <w:rsid w:val="00E57742"/>
    <w:rsid w:val="00E602DF"/>
    <w:rsid w:val="00E61B69"/>
    <w:rsid w:val="00E62428"/>
    <w:rsid w:val="00E643C7"/>
    <w:rsid w:val="00E66CA0"/>
    <w:rsid w:val="00E673BF"/>
    <w:rsid w:val="00E722B7"/>
    <w:rsid w:val="00E839F2"/>
    <w:rsid w:val="00E86244"/>
    <w:rsid w:val="00E866F6"/>
    <w:rsid w:val="00E96CD9"/>
    <w:rsid w:val="00EA0B43"/>
    <w:rsid w:val="00EA19D6"/>
    <w:rsid w:val="00EA2A0C"/>
    <w:rsid w:val="00EA40F5"/>
    <w:rsid w:val="00EA51C7"/>
    <w:rsid w:val="00EA5C11"/>
    <w:rsid w:val="00EA653B"/>
    <w:rsid w:val="00EB51B3"/>
    <w:rsid w:val="00EB6AFE"/>
    <w:rsid w:val="00EC4C1F"/>
    <w:rsid w:val="00EC6268"/>
    <w:rsid w:val="00EC6FB1"/>
    <w:rsid w:val="00EC7192"/>
    <w:rsid w:val="00ED0CF0"/>
    <w:rsid w:val="00ED2AF6"/>
    <w:rsid w:val="00ED3422"/>
    <w:rsid w:val="00ED4501"/>
    <w:rsid w:val="00ED5F08"/>
    <w:rsid w:val="00ED7280"/>
    <w:rsid w:val="00EE15EF"/>
    <w:rsid w:val="00EE17BE"/>
    <w:rsid w:val="00EE2662"/>
    <w:rsid w:val="00EE3E20"/>
    <w:rsid w:val="00EE4D72"/>
    <w:rsid w:val="00EE712C"/>
    <w:rsid w:val="00EF14AF"/>
    <w:rsid w:val="00EF5E50"/>
    <w:rsid w:val="00EF7458"/>
    <w:rsid w:val="00F00E80"/>
    <w:rsid w:val="00F0195E"/>
    <w:rsid w:val="00F033EC"/>
    <w:rsid w:val="00F112F6"/>
    <w:rsid w:val="00F11D6C"/>
    <w:rsid w:val="00F15440"/>
    <w:rsid w:val="00F175B6"/>
    <w:rsid w:val="00F21CD6"/>
    <w:rsid w:val="00F21E33"/>
    <w:rsid w:val="00F270AE"/>
    <w:rsid w:val="00F27729"/>
    <w:rsid w:val="00F30EA5"/>
    <w:rsid w:val="00F34062"/>
    <w:rsid w:val="00F36431"/>
    <w:rsid w:val="00F40E12"/>
    <w:rsid w:val="00F42F9C"/>
    <w:rsid w:val="00F44EA5"/>
    <w:rsid w:val="00F4585E"/>
    <w:rsid w:val="00F50305"/>
    <w:rsid w:val="00F51B7A"/>
    <w:rsid w:val="00F54C8A"/>
    <w:rsid w:val="00F55AE6"/>
    <w:rsid w:val="00F55B45"/>
    <w:rsid w:val="00F561CC"/>
    <w:rsid w:val="00F573B6"/>
    <w:rsid w:val="00F60D79"/>
    <w:rsid w:val="00F618F4"/>
    <w:rsid w:val="00F62CC8"/>
    <w:rsid w:val="00F63809"/>
    <w:rsid w:val="00F64158"/>
    <w:rsid w:val="00F64578"/>
    <w:rsid w:val="00F74716"/>
    <w:rsid w:val="00F75869"/>
    <w:rsid w:val="00F81129"/>
    <w:rsid w:val="00F83966"/>
    <w:rsid w:val="00F90669"/>
    <w:rsid w:val="00F90C4F"/>
    <w:rsid w:val="00F913BA"/>
    <w:rsid w:val="00F91808"/>
    <w:rsid w:val="00F9585A"/>
    <w:rsid w:val="00F95C91"/>
    <w:rsid w:val="00F96806"/>
    <w:rsid w:val="00F97CE5"/>
    <w:rsid w:val="00FA07F3"/>
    <w:rsid w:val="00FA2E4A"/>
    <w:rsid w:val="00FA3B60"/>
    <w:rsid w:val="00FA514D"/>
    <w:rsid w:val="00FA6586"/>
    <w:rsid w:val="00FA69C6"/>
    <w:rsid w:val="00FB2F78"/>
    <w:rsid w:val="00FC149A"/>
    <w:rsid w:val="00FC2466"/>
    <w:rsid w:val="00FD0BA9"/>
    <w:rsid w:val="00FD1B89"/>
    <w:rsid w:val="00FD24D8"/>
    <w:rsid w:val="00FD5570"/>
    <w:rsid w:val="00FD6555"/>
    <w:rsid w:val="00FE17BF"/>
    <w:rsid w:val="00FE2BE0"/>
    <w:rsid w:val="00FE5E8B"/>
    <w:rsid w:val="00FF3158"/>
    <w:rsid w:val="00FF32EF"/>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2A7"/>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3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 w:type="table" w:customStyle="1" w:styleId="Estilo12">
    <w:name w:val="Estilo12"/>
    <w:basedOn w:val="Tablamoderna"/>
    <w:uiPriority w:val="99"/>
    <w:qFormat/>
    <w:rsid w:val="00AF3FCA"/>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53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81915-DE81-4AF3-9DFD-2F2F35D2F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1337</TotalTime>
  <Pages>7</Pages>
  <Words>2018</Words>
  <Characters>11102</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202</cp:revision>
  <cp:lastPrinted>2023-02-01T03:05:00Z</cp:lastPrinted>
  <dcterms:created xsi:type="dcterms:W3CDTF">2023-01-08T04:58:00Z</dcterms:created>
  <dcterms:modified xsi:type="dcterms:W3CDTF">2023-02-01T03:05:00Z</dcterms:modified>
</cp:coreProperties>
</file>